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EF" w:rsidRDefault="00A802EF" w:rsidP="00601DE4">
      <w:pPr>
        <w:pStyle w:val="stbilgiveyaaltbilgi0"/>
        <w:framePr w:w="5510" w:h="227" w:hRule="exact" w:wrap="none" w:vAnchor="page" w:hAnchor="page" w:x="1465" w:y="952"/>
        <w:shd w:val="clear" w:color="auto" w:fill="auto"/>
        <w:spacing w:line="200" w:lineRule="exact"/>
      </w:pPr>
    </w:p>
    <w:p w:rsidR="00A802EF" w:rsidRDefault="002610DC">
      <w:pPr>
        <w:pStyle w:val="Balk10"/>
        <w:framePr w:w="5750" w:h="681" w:hRule="exact" w:wrap="none" w:vAnchor="page" w:hAnchor="page" w:x="1225" w:y="1085"/>
        <w:shd w:val="clear" w:color="auto" w:fill="auto"/>
        <w:spacing w:after="0"/>
        <w:ind w:left="20"/>
      </w:pPr>
      <w:bookmarkStart w:id="0" w:name="bookmark0"/>
      <w:r>
        <w:t>T.C. MANAVGAT (SULH HUKUK MAH.) SATIŞ MEMURLUĞU 2012/19 SATIŞ</w:t>
      </w:r>
      <w:bookmarkEnd w:id="0"/>
    </w:p>
    <w:p w:rsidR="00A802EF" w:rsidRDefault="002610DC">
      <w:pPr>
        <w:pStyle w:val="Tabloyazs20"/>
        <w:framePr w:w="4474" w:h="418" w:hRule="exact" w:wrap="none" w:vAnchor="page" w:hAnchor="page" w:x="1283" w:y="1854"/>
        <w:shd w:val="clear" w:color="auto" w:fill="auto"/>
        <w:spacing w:line="120" w:lineRule="exact"/>
        <w:ind w:left="1720"/>
      </w:pPr>
      <w:r>
        <w:t>TAŞINMAZIN AÇIK ARTIRMA İLANI</w:t>
      </w:r>
    </w:p>
    <w:p w:rsidR="00A802EF" w:rsidRDefault="002610DC">
      <w:pPr>
        <w:pStyle w:val="Tabloyazs0"/>
        <w:framePr w:w="4474" w:h="418" w:hRule="exact" w:wrap="none" w:vAnchor="page" w:hAnchor="page" w:x="1283" w:y="1854"/>
        <w:shd w:val="clear" w:color="auto" w:fill="auto"/>
        <w:spacing w:line="120" w:lineRule="exact"/>
      </w:pPr>
      <w:r>
        <w:rPr>
          <w:rStyle w:val="Tabloyazs1"/>
        </w:rPr>
        <w:t xml:space="preserve">Satılmasına karar verilen </w:t>
      </w:r>
      <w:proofErr w:type="spellStart"/>
      <w:r>
        <w:rPr>
          <w:rStyle w:val="Tabloyazs1"/>
        </w:rPr>
        <w:t>tagmmazm</w:t>
      </w:r>
      <w:proofErr w:type="spellEnd"/>
      <w:r>
        <w:rPr>
          <w:rStyle w:val="Tabloyazs1"/>
        </w:rPr>
        <w:t xml:space="preserve"> cinsi, niteliği, kıymeti, adedi, önemli özellikleri: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4301"/>
      </w:tblGrid>
      <w:tr w:rsidR="00A802EF">
        <w:trPr>
          <w:trHeight w:hRule="exact" w:val="226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>1 NO'LU TAŞINMAZIN</w:t>
            </w:r>
          </w:p>
        </w:tc>
      </w:tr>
      <w:tr w:rsidR="00A802EF">
        <w:trPr>
          <w:trHeight w:hRule="exact" w:val="1334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Özellikleri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63" w:lineRule="exact"/>
              <w:ind w:left="80"/>
            </w:pPr>
            <w:r>
              <w:rPr>
                <w:rStyle w:val="Gvdemetni6pt0ptbolukbraklyor"/>
              </w:rPr>
              <w:t xml:space="preserve">ANTALYA İli, MANAVGAT İlçesi, SİDE KEMER Mahallesi 353 Ada, 2 Parsel sayılı, 1.559,00 m2 miktarlı, kuzeyi ve doğusu yol, diğer cepheleri komşu parseller ile çevrili, imarlı </w:t>
            </w:r>
            <w:proofErr w:type="spellStart"/>
            <w:r>
              <w:rPr>
                <w:rStyle w:val="Gvdemetni6pt0ptbolukbraklyor"/>
              </w:rPr>
              <w:t>arsavasfmdadır</w:t>
            </w:r>
            <w:proofErr w:type="spellEnd"/>
            <w:r>
              <w:rPr>
                <w:rStyle w:val="Gvdemetni6pt0ptbolukbraklyor"/>
              </w:rPr>
              <w:t xml:space="preserve">. Manavgat’ı Side'ye bağlayan </w:t>
            </w:r>
            <w:proofErr w:type="gramStart"/>
            <w:r>
              <w:rPr>
                <w:rStyle w:val="Gvdemetni6pt0ptbolukbraklyor"/>
              </w:rPr>
              <w:t>Kemer bulvarı</w:t>
            </w:r>
            <w:proofErr w:type="gramEnd"/>
            <w:r>
              <w:rPr>
                <w:rStyle w:val="Gvdemetni6pt0ptbolukbraklyor"/>
              </w:rPr>
              <w:t xml:space="preserve"> üzerinde ve bu bulvara kuzey yönden cepheli olan parsel kuş uçuşu olarak Antalya-Manavgat karayoluna 700 m, Manavgat ilçe merkezine 3.500 m, Antik Side'ye 2.500 m, Akdeniz'e 1.800 m mesafededir. Üzerinde herhangi bir </w:t>
            </w:r>
            <w:proofErr w:type="spellStart"/>
            <w:r>
              <w:rPr>
                <w:rStyle w:val="Gvdemetni6pt0ptbolukbraklyor"/>
              </w:rPr>
              <w:t>muhtesat</w:t>
            </w:r>
            <w:proofErr w:type="spellEnd"/>
            <w:r>
              <w:rPr>
                <w:rStyle w:val="Gvdemetni6pt0ptbolukbraklyor"/>
              </w:rPr>
              <w:t xml:space="preserve"> bulunmamaktadır. Parselin güney ve batı taraflarında yoğun şekilde konut amaçlı olarak yapılmış yapılar bulunmaktadır. Tüm altyapı hizmetlerinden</w:t>
            </w:r>
          </w:p>
        </w:tc>
      </w:tr>
      <w:tr w:rsidR="00A802EF">
        <w:trPr>
          <w:trHeight w:hRule="exact" w:val="18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A802EF">
            <w:pPr>
              <w:framePr w:w="5741" w:h="8467" w:wrap="none" w:vAnchor="page" w:hAnchor="page" w:x="1230" w:y="2243"/>
              <w:rPr>
                <w:sz w:val="10"/>
                <w:szCs w:val="10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proofErr w:type="gramStart"/>
            <w:r>
              <w:rPr>
                <w:rStyle w:val="Gvdemetni6pt0ptbolukbraklyor"/>
              </w:rPr>
              <w:t>yararlanabilir</w:t>
            </w:r>
            <w:proofErr w:type="gramEnd"/>
            <w:r>
              <w:rPr>
                <w:rStyle w:val="Gvdemetni6pt0ptbolukbraklyor"/>
              </w:rPr>
              <w:t xml:space="preserve"> durumdadır.</w:t>
            </w:r>
          </w:p>
        </w:tc>
      </w:tr>
      <w:tr w:rsidR="00A802EF">
        <w:trPr>
          <w:trHeight w:hRule="exact" w:val="20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Adresi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Kemer Mahallesi Side Manavgat</w:t>
            </w:r>
          </w:p>
        </w:tc>
      </w:tr>
      <w:tr w:rsidR="00A802EF">
        <w:trPr>
          <w:trHeight w:hRule="exact" w:val="22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Yüzölçümü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1.559,00 m2</w:t>
            </w:r>
          </w:p>
        </w:tc>
      </w:tr>
      <w:tr w:rsidR="00A802EF">
        <w:trPr>
          <w:trHeight w:hRule="exact" w:val="221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Arsa Payı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-</w:t>
            </w:r>
          </w:p>
        </w:tc>
      </w:tr>
      <w:tr w:rsidR="00A802EF">
        <w:trPr>
          <w:trHeight w:hRule="exact" w:val="533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İmar Dorumu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63" w:lineRule="exact"/>
              <w:ind w:left="80"/>
            </w:pPr>
            <w:r>
              <w:rPr>
                <w:rStyle w:val="Gvdemetni6pt0ptbolukbraklyor"/>
              </w:rPr>
              <w:t xml:space="preserve">(A) Tercihli kullanım alanı kapsamında, </w:t>
            </w:r>
            <w:proofErr w:type="spellStart"/>
            <w:r>
              <w:rPr>
                <w:rStyle w:val="Gvdemetni6pt0ptbolukbraklyor"/>
              </w:rPr>
              <w:t>aynk</w:t>
            </w:r>
            <w:proofErr w:type="spellEnd"/>
            <w:r>
              <w:rPr>
                <w:rStyle w:val="Gvdemetni6pt0ptbolukbraklyor"/>
              </w:rPr>
              <w:t xml:space="preserve"> nizam, E:0,45, </w:t>
            </w:r>
            <w:proofErr w:type="spellStart"/>
            <w:r>
              <w:rPr>
                <w:rStyle w:val="Gvdemetni6pt0ptbolukbraklyor"/>
              </w:rPr>
              <w:t>Hmax</w:t>
            </w:r>
            <w:proofErr w:type="spellEnd"/>
            <w:r>
              <w:rPr>
                <w:rStyle w:val="Gvdemetni6pt0ptbolukbraklyor"/>
              </w:rPr>
              <w:t>:10,50m ve 3 kat, konut altı ticaret kullanım kararının bulunduğu adalarında emsalin yarısı zemin katta kullanılabilir imarlı arsa.</w:t>
            </w:r>
          </w:p>
        </w:tc>
      </w:tr>
      <w:tr w:rsidR="00A802EF">
        <w:trPr>
          <w:trHeight w:hRule="exact" w:val="22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Kıymeti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1.013.350,00 TL</w:t>
            </w:r>
          </w:p>
        </w:tc>
      </w:tr>
      <w:tr w:rsidR="00A802EF">
        <w:trPr>
          <w:trHeight w:hRule="exact" w:val="211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KDV Oram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90" w:lineRule="exact"/>
              <w:ind w:left="80"/>
            </w:pPr>
            <w:r>
              <w:rPr>
                <w:rStyle w:val="Gvdemetni95ptKalntalik0ptbolukbraklyor70lek"/>
              </w:rPr>
              <w:t>%ıs</w:t>
            </w:r>
          </w:p>
        </w:tc>
      </w:tr>
      <w:tr w:rsidR="00A802EF">
        <w:trPr>
          <w:trHeight w:hRule="exact" w:val="23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proofErr w:type="spellStart"/>
            <w:r>
              <w:rPr>
                <w:rStyle w:val="Gvdemetni6ptKaln"/>
              </w:rPr>
              <w:t>Kaydmdaki</w:t>
            </w:r>
            <w:proofErr w:type="spellEnd"/>
            <w:r>
              <w:rPr>
                <w:rStyle w:val="Gvdemetni6ptKaln"/>
              </w:rPr>
              <w:t xml:space="preserve"> Şerhler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0"/>
              </w:rPr>
              <w:t>-</w:t>
            </w:r>
          </w:p>
        </w:tc>
      </w:tr>
      <w:tr w:rsidR="00A802EF">
        <w:trPr>
          <w:trHeight w:hRule="exact" w:val="20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 xml:space="preserve">1. </w:t>
            </w:r>
            <w:r>
              <w:rPr>
                <w:rStyle w:val="Gvdemetni6ptKaln"/>
              </w:rPr>
              <w:t>Satış Günü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proofErr w:type="gramStart"/>
            <w:r>
              <w:rPr>
                <w:rStyle w:val="Gvdemetni6pt0ptbolukbraklyor"/>
              </w:rPr>
              <w:t>20/03/2013</w:t>
            </w:r>
            <w:proofErr w:type="gramEnd"/>
            <w:r>
              <w:rPr>
                <w:rStyle w:val="Gvdemetni6pt0ptbolukbraklyor"/>
              </w:rPr>
              <w:t xml:space="preserve"> günü 11:00-11:15 arası</w:t>
            </w:r>
          </w:p>
        </w:tc>
      </w:tr>
      <w:tr w:rsidR="00A802EF">
        <w:trPr>
          <w:trHeight w:hRule="exact" w:val="21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2. Satış Günü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proofErr w:type="gramStart"/>
            <w:r>
              <w:rPr>
                <w:rStyle w:val="Gvdemetni6pt0ptbolukbraklyor"/>
              </w:rPr>
              <w:t>17/04/2013</w:t>
            </w:r>
            <w:proofErr w:type="gramEnd"/>
            <w:r>
              <w:rPr>
                <w:rStyle w:val="Gvdemetni6pt0ptbolukbraklyor"/>
              </w:rPr>
              <w:t xml:space="preserve"> günü 11:00-11:15 arası</w:t>
            </w:r>
          </w:p>
        </w:tc>
      </w:tr>
      <w:tr w:rsidR="00A802EF">
        <w:trPr>
          <w:trHeight w:hRule="exact" w:val="211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Satış Yeri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Manavgat Adalet Sarayı 3.</w:t>
            </w:r>
            <w:proofErr w:type="spellStart"/>
            <w:r>
              <w:rPr>
                <w:rStyle w:val="Gvdemetni6pt0ptbolukbraklyor"/>
              </w:rPr>
              <w:t>Kaî</w:t>
            </w:r>
            <w:proofErr w:type="spellEnd"/>
            <w:r>
              <w:rPr>
                <w:rStyle w:val="Gvdemetni6pt0ptbolukbraklyor"/>
              </w:rPr>
              <w:t xml:space="preserve"> Satış Salonu</w:t>
            </w:r>
          </w:p>
        </w:tc>
      </w:tr>
      <w:tr w:rsidR="00A802EF">
        <w:trPr>
          <w:trHeight w:hRule="exact" w:val="221"/>
        </w:trPr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>2 NO'LU TAŞINMAZIN</w:t>
            </w:r>
          </w:p>
        </w:tc>
      </w:tr>
      <w:tr w:rsidR="00A802EF">
        <w:trPr>
          <w:trHeight w:hRule="exact" w:val="1522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>Özellikleri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63" w:lineRule="exact"/>
              <w:ind w:left="80"/>
            </w:pPr>
            <w:r>
              <w:rPr>
                <w:rStyle w:val="Gvdemetni6pt0ptbolukbraklyor"/>
              </w:rPr>
              <w:t xml:space="preserve">ANTALYA İli, MANAVGAT İlçesi, SİDE KEMER Mahallesi 353 Ada 3 Parsel sayılı, 1.225,00 m2 miktarlı, güneyi ve doğusu yol, diğer cepheleri komşu parseller ile çevrili, imarlı arsa </w:t>
            </w:r>
            <w:proofErr w:type="spellStart"/>
            <w:r>
              <w:rPr>
                <w:rStyle w:val="Gvdemetni6pt0ptbolukbraklyor"/>
              </w:rPr>
              <w:t>vasfmdadır</w:t>
            </w:r>
            <w:proofErr w:type="spellEnd"/>
            <w:r>
              <w:rPr>
                <w:rStyle w:val="Gvdemetni6pt0ptbolukbraklyor"/>
              </w:rPr>
              <w:t xml:space="preserve">. Manavgat'ı Side'ye bağlayan Kemer bulvarına güney yönden 2. parsel durumunda olan parsel kuş uçuşu olarak Antalya-Manavgat karayoluna 700 m, Manavgat ilçe merkezine 3.500 m, Antik Side'ye 2.500 m, Akdeniz'e 1.800 m mesafededir. Üzerinde </w:t>
            </w:r>
            <w:proofErr w:type="spellStart"/>
            <w:r>
              <w:rPr>
                <w:rStyle w:val="Gvdemetni6pt0ptbolukbraklyor"/>
              </w:rPr>
              <w:t>heriangi</w:t>
            </w:r>
            <w:proofErr w:type="spellEnd"/>
            <w:r>
              <w:rPr>
                <w:rStyle w:val="Gvdemetni6pt0ptbolukbraklyor"/>
              </w:rPr>
              <w:t xml:space="preserve"> bir yapı bulunmamakladır. Parselin güney ve batı taraflarında yoğun şekilde konut amaçlı olarak yapılmış yapılar bulunmaktadır. Tüm altyapı hizmetlerinden yararlanabilir dunundadır.</w:t>
            </w:r>
          </w:p>
        </w:tc>
      </w:tr>
      <w:tr w:rsidR="00A802EF">
        <w:trPr>
          <w:trHeight w:hRule="exact" w:val="21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>Adresi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Kemer mahallesi Side Manavgat</w:t>
            </w:r>
          </w:p>
        </w:tc>
      </w:tr>
      <w:tr w:rsidR="00A802EF">
        <w:trPr>
          <w:trHeight w:hRule="exact" w:val="22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>Yüzölçümü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1.225,00 m2</w:t>
            </w:r>
          </w:p>
        </w:tc>
      </w:tr>
      <w:tr w:rsidR="00A802EF">
        <w:trPr>
          <w:trHeight w:hRule="exact" w:val="21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>Arsa Payı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-</w:t>
            </w:r>
          </w:p>
        </w:tc>
      </w:tr>
      <w:tr w:rsidR="00A802EF">
        <w:trPr>
          <w:trHeight w:hRule="exact" w:val="5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proofErr w:type="gramStart"/>
            <w:r>
              <w:rPr>
                <w:rStyle w:val="Gvdemetni6ptKaln"/>
              </w:rPr>
              <w:t>imar</w:t>
            </w:r>
            <w:proofErr w:type="gramEnd"/>
            <w:r>
              <w:rPr>
                <w:rStyle w:val="Gvdemetni6ptKaln"/>
              </w:rPr>
              <w:t xml:space="preserve"> Durumu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63" w:lineRule="exact"/>
              <w:ind w:left="80"/>
            </w:pPr>
            <w:r>
              <w:rPr>
                <w:rStyle w:val="Gvdemetni6pt0ptbolukbraklyor"/>
              </w:rPr>
              <w:t xml:space="preserve">(B) tercihli kullanım alanı kapsamında, </w:t>
            </w:r>
            <w:proofErr w:type="spellStart"/>
            <w:r>
              <w:rPr>
                <w:rStyle w:val="Gvdemetni6pt0ptbolukbraklyor"/>
              </w:rPr>
              <w:t>aytık</w:t>
            </w:r>
            <w:proofErr w:type="spellEnd"/>
            <w:r>
              <w:rPr>
                <w:rStyle w:val="Gvdemetni6pt0ptbolukbraklyor"/>
              </w:rPr>
              <w:t xml:space="preserve"> nizam E:0,40, </w:t>
            </w:r>
            <w:proofErr w:type="spellStart"/>
            <w:r>
              <w:rPr>
                <w:rStyle w:val="Gvdemetni6pt0ptbolukbraklyor"/>
              </w:rPr>
              <w:t>Hmax</w:t>
            </w:r>
            <w:proofErr w:type="spellEnd"/>
            <w:r>
              <w:rPr>
                <w:rStyle w:val="Gvdemetni6pt0ptbolukbraklyor"/>
              </w:rPr>
              <w:t xml:space="preserve">:7,50 </w:t>
            </w:r>
            <w:proofErr w:type="spellStart"/>
            <w:r>
              <w:rPr>
                <w:rStyle w:val="Gvdemetni6pt0ptbolukbraklyor"/>
              </w:rPr>
              <w:t>nı</w:t>
            </w:r>
            <w:proofErr w:type="spellEnd"/>
            <w:r>
              <w:rPr>
                <w:rStyle w:val="Gvdemetni6pt0ptbolukbraklyor"/>
              </w:rPr>
              <w:t xml:space="preserve"> 2 kat ansa] sabit kalmak şartıyla Kültür ve Turizm Bakanlığınca Turizm Yatırım </w:t>
            </w:r>
            <w:proofErr w:type="spellStart"/>
            <w:r>
              <w:rPr>
                <w:rStyle w:val="Gvdemetni6pt0ptbolukbraklyor"/>
              </w:rPr>
              <w:t>Belfes</w:t>
            </w:r>
            <w:proofErr w:type="spellEnd"/>
            <w:r>
              <w:rPr>
                <w:rStyle w:val="Gvdemetni6pt0ptbolukbraklyor"/>
              </w:rPr>
              <w:t xml:space="preserve">: halinde </w:t>
            </w:r>
            <w:proofErr w:type="spellStart"/>
            <w:r>
              <w:rPr>
                <w:rStyle w:val="Gvdemetni6pt0ptbolukbraklyor"/>
              </w:rPr>
              <w:t>Hmax</w:t>
            </w:r>
            <w:proofErr w:type="spellEnd"/>
            <w:r>
              <w:rPr>
                <w:rStyle w:val="Gvdemetni6pt0ptbolukbraklyor"/>
              </w:rPr>
              <w:t xml:space="preserve"> 10,00m ve 3 kat imarlı</w:t>
            </w:r>
          </w:p>
        </w:tc>
      </w:tr>
      <w:tr w:rsidR="00A802EF">
        <w:trPr>
          <w:trHeight w:hRule="exact" w:val="21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proofErr w:type="spellStart"/>
            <w:r>
              <w:rPr>
                <w:rStyle w:val="Gvdemetni6ptKaln"/>
              </w:rPr>
              <w:t>knmeti</w:t>
            </w:r>
            <w:proofErr w:type="spellEnd"/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30" w:lineRule="exact"/>
              <w:ind w:left="80"/>
            </w:pPr>
            <w:r>
              <w:rPr>
                <w:rStyle w:val="Gvdemetni65pt0ptbolukbraklyor"/>
              </w:rPr>
              <w:t>62' JOOJC TL</w:t>
            </w:r>
          </w:p>
        </w:tc>
      </w:tr>
      <w:tr w:rsidR="00A802EF">
        <w:trPr>
          <w:trHeight w:hRule="exact" w:val="211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>KDV Ora</w:t>
            </w:r>
            <w:proofErr w:type="gramStart"/>
            <w:r>
              <w:rPr>
                <w:rStyle w:val="Gvdemetni6ptKaln"/>
              </w:rPr>
              <w:t>»</w:t>
            </w:r>
            <w:proofErr w:type="gramEnd"/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Kaln"/>
              </w:rPr>
              <w:t>%</w:t>
            </w:r>
            <w:proofErr w:type="spellStart"/>
            <w:r>
              <w:rPr>
                <w:rStyle w:val="Gvdemetni6ptKaln"/>
              </w:rPr>
              <w:t>ii</w:t>
            </w:r>
            <w:proofErr w:type="spellEnd"/>
          </w:p>
        </w:tc>
      </w:tr>
      <w:tr w:rsidR="00A802EF">
        <w:trPr>
          <w:trHeight w:hRule="exact" w:val="23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proofErr w:type="spellStart"/>
            <w:r>
              <w:rPr>
                <w:rStyle w:val="Gvdemetni6ptKaln"/>
              </w:rPr>
              <w:t>Ka</w:t>
            </w:r>
            <w:proofErr w:type="spellEnd"/>
            <w:r>
              <w:rPr>
                <w:rStyle w:val="Gvdemetni6ptKaln"/>
              </w:rPr>
              <w:t>&gt;</w:t>
            </w:r>
            <w:proofErr w:type="spellStart"/>
            <w:r>
              <w:rPr>
                <w:rStyle w:val="Gvdemetni6ptKaln"/>
              </w:rPr>
              <w:t>dadıuxrfckr</w:t>
            </w:r>
            <w:proofErr w:type="spellEnd"/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-</w:t>
            </w:r>
          </w:p>
        </w:tc>
      </w:tr>
      <w:tr w:rsidR="00A802EF">
        <w:trPr>
          <w:trHeight w:hRule="exact" w:val="20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proofErr w:type="spellStart"/>
            <w:r>
              <w:rPr>
                <w:rStyle w:val="Gvdemetni6ptKaln"/>
              </w:rPr>
              <w:t>l.SMtGâai</w:t>
            </w:r>
            <w:proofErr w:type="spellEnd"/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40" w:lineRule="exact"/>
              <w:ind w:left="80"/>
            </w:pPr>
            <w:r>
              <w:rPr>
                <w:rStyle w:val="Gvdemetni7pt0ptbolukbraklyor"/>
              </w:rPr>
              <w:t xml:space="preserve">20043013 </w:t>
            </w:r>
            <w:proofErr w:type="spellStart"/>
            <w:proofErr w:type="gramStart"/>
            <w:r>
              <w:rPr>
                <w:rStyle w:val="Gvdemetni7pt0ptbolukbraklyor"/>
              </w:rPr>
              <w:t>gâs</w:t>
            </w:r>
            <w:proofErr w:type="spellEnd"/>
            <w:r>
              <w:rPr>
                <w:rStyle w:val="Gvdemetni7pt0ptbolukbraklyor"/>
              </w:rPr>
              <w:t xml:space="preserve"> </w:t>
            </w:r>
            <w:r>
              <w:rPr>
                <w:rStyle w:val="Gvdemetni6pt0ptbolukbraklyor"/>
              </w:rPr>
              <w:t>: 1J0</w:t>
            </w:r>
            <w:proofErr w:type="gramEnd"/>
            <w:r>
              <w:rPr>
                <w:rStyle w:val="Gvdemetni6pt0ptbolukbraklyor"/>
              </w:rPr>
              <w:t xml:space="preserve">- </w:t>
            </w:r>
            <w:r>
              <w:rPr>
                <w:rStyle w:val="Gvdemetni7ptKaln0ptbolukbraklyor"/>
              </w:rPr>
              <w:t>İMO</w:t>
            </w:r>
            <w:r>
              <w:rPr>
                <w:rStyle w:val="Gvdemetni7pt0ptbolukbraklyor"/>
              </w:rPr>
              <w:t>**e</w:t>
            </w:r>
          </w:p>
        </w:tc>
      </w:tr>
      <w:tr w:rsidR="00A802EF">
        <w:trPr>
          <w:trHeight w:hRule="exact" w:val="206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"/>
              </w:rPr>
              <w:t xml:space="preserve">2. </w:t>
            </w:r>
            <w:r>
              <w:rPr>
                <w:rStyle w:val="Gvdemetni6ptKaln0ptbolukbraklyor"/>
              </w:rPr>
              <w:t xml:space="preserve">Satış </w:t>
            </w:r>
            <w:r>
              <w:rPr>
                <w:rStyle w:val="Gvdemetni6ptKaln"/>
              </w:rPr>
              <w:t>Güdü</w:t>
            </w:r>
          </w:p>
        </w:tc>
        <w:tc>
          <w:tcPr>
            <w:tcW w:w="4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proofErr w:type="gramStart"/>
            <w:r>
              <w:rPr>
                <w:rStyle w:val="Gvdemetni6ptKaln0ptbolukbraklyor"/>
              </w:rPr>
              <w:t>17/04/2013</w:t>
            </w:r>
            <w:proofErr w:type="gramEnd"/>
            <w:r>
              <w:rPr>
                <w:rStyle w:val="Gvdemetni6ptKaln0ptbolukbraklyor"/>
              </w:rPr>
              <w:t xml:space="preserve"> günü 11:30- 11:40 arası</w:t>
            </w:r>
          </w:p>
        </w:tc>
      </w:tr>
      <w:tr w:rsidR="00A802EF">
        <w:trPr>
          <w:trHeight w:hRule="exact" w:val="23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100"/>
            </w:pPr>
            <w:r>
              <w:rPr>
                <w:rStyle w:val="Gvdemetni6ptKaln0ptbolukbraklyor"/>
              </w:rPr>
              <w:t>Satış Yeri</w:t>
            </w:r>
          </w:p>
        </w:tc>
        <w:tc>
          <w:tcPr>
            <w:tcW w:w="4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EF" w:rsidRDefault="002610DC">
            <w:pPr>
              <w:pStyle w:val="Gvdemetni0"/>
              <w:framePr w:w="5741" w:h="8467" w:wrap="none" w:vAnchor="page" w:hAnchor="page" w:x="1230" w:y="2243"/>
              <w:shd w:val="clear" w:color="auto" w:fill="auto"/>
              <w:spacing w:line="120" w:lineRule="exact"/>
              <w:ind w:left="80"/>
            </w:pPr>
            <w:r>
              <w:rPr>
                <w:rStyle w:val="Gvdemetni6pt0ptbolukbraklyor"/>
              </w:rPr>
              <w:t>Manavgat Adalet Sarayı 3 Kat Satış Salonu</w:t>
            </w:r>
          </w:p>
        </w:tc>
      </w:tr>
    </w:tbl>
    <w:p w:rsidR="00A802EF" w:rsidRDefault="002610DC">
      <w:pPr>
        <w:pStyle w:val="stbilgiveyaaltbilgi20"/>
        <w:framePr w:wrap="none" w:vAnchor="page" w:hAnchor="page" w:x="6879" w:y="10788"/>
        <w:shd w:val="clear" w:color="auto" w:fill="auto"/>
        <w:spacing w:line="160" w:lineRule="exact"/>
      </w:pPr>
      <w:r>
        <w:t>1</w:t>
      </w:r>
    </w:p>
    <w:p w:rsidR="00A802EF" w:rsidRDefault="00A802EF">
      <w:pPr>
        <w:rPr>
          <w:sz w:val="2"/>
          <w:szCs w:val="2"/>
        </w:rPr>
      </w:pPr>
    </w:p>
    <w:sectPr w:rsidR="00A802EF" w:rsidSect="00A802EF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DD" w:rsidRDefault="00C920DD" w:rsidP="00A802EF">
      <w:r>
        <w:separator/>
      </w:r>
    </w:p>
  </w:endnote>
  <w:endnote w:type="continuationSeparator" w:id="0">
    <w:p w:rsidR="00C920DD" w:rsidRDefault="00C920DD" w:rsidP="00A8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DD" w:rsidRDefault="00C920DD"/>
  </w:footnote>
  <w:footnote w:type="continuationSeparator" w:id="0">
    <w:p w:rsidR="00C920DD" w:rsidRDefault="00C920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02EF"/>
    <w:rsid w:val="001B14DC"/>
    <w:rsid w:val="002610DC"/>
    <w:rsid w:val="00601DE4"/>
    <w:rsid w:val="00A43EF8"/>
    <w:rsid w:val="00A802EF"/>
    <w:rsid w:val="00C9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02E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802EF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A8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6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sid w:val="00A802E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Tabloyazs2">
    <w:name w:val="Tablo yazısı (2)_"/>
    <w:basedOn w:val="VarsaylanParagrafYazTipi"/>
    <w:link w:val="Tabloyazs20"/>
    <w:rsid w:val="00A8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Tabloyazs">
    <w:name w:val="Tablo yazısı_"/>
    <w:basedOn w:val="VarsaylanParagrafYazTipi"/>
    <w:link w:val="Tabloyazs0"/>
    <w:rsid w:val="00A8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Tabloyazs1">
    <w:name w:val="Tablo yazısı"/>
    <w:basedOn w:val="Tabloyazs"/>
    <w:rsid w:val="00A802EF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8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6ptKaln">
    <w:name w:val="Gövde metni + 6 pt;Kalın"/>
    <w:basedOn w:val="Gvdemetni"/>
    <w:rsid w:val="00A802EF"/>
    <w:rPr>
      <w:b/>
      <w:bCs/>
      <w:color w:val="000000"/>
      <w:spacing w:val="0"/>
      <w:w w:val="100"/>
      <w:position w:val="0"/>
      <w:sz w:val="12"/>
      <w:szCs w:val="12"/>
      <w:lang w:val="tr-TR"/>
    </w:rPr>
  </w:style>
  <w:style w:type="character" w:customStyle="1" w:styleId="Gvdemetni6pt0ptbolukbraklyor">
    <w:name w:val="Gövde metni + 6 pt;0 pt boşluk bırakılıyor"/>
    <w:basedOn w:val="Gvdemetni"/>
    <w:rsid w:val="00A802EF"/>
    <w:rPr>
      <w:color w:val="000000"/>
      <w:spacing w:val="-3"/>
      <w:w w:val="100"/>
      <w:position w:val="0"/>
      <w:sz w:val="12"/>
      <w:szCs w:val="12"/>
      <w:lang w:val="tr-TR"/>
    </w:rPr>
  </w:style>
  <w:style w:type="character" w:customStyle="1" w:styleId="Gvdemetni95ptKalntalik0ptbolukbraklyor70lek">
    <w:name w:val="Gövde metni + 9;5 pt;Kalın;İtalik;0 pt boşluk bırakılıyor;70% ölçek"/>
    <w:basedOn w:val="Gvdemetni"/>
    <w:rsid w:val="00A802EF"/>
    <w:rPr>
      <w:b/>
      <w:bCs/>
      <w:i/>
      <w:iCs/>
      <w:color w:val="000000"/>
      <w:spacing w:val="9"/>
      <w:w w:val="70"/>
      <w:position w:val="0"/>
      <w:sz w:val="19"/>
      <w:szCs w:val="19"/>
      <w:lang w:val="tr-TR"/>
    </w:rPr>
  </w:style>
  <w:style w:type="character" w:customStyle="1" w:styleId="Gvdemetni6pt0ptbolukbraklyor0">
    <w:name w:val="Gövde metni + 6 pt;0 pt boşluk bırakılıyor"/>
    <w:basedOn w:val="Gvdemetni"/>
    <w:rsid w:val="00A802EF"/>
    <w:rPr>
      <w:color w:val="000000"/>
      <w:spacing w:val="-3"/>
      <w:w w:val="100"/>
      <w:position w:val="0"/>
      <w:sz w:val="12"/>
      <w:szCs w:val="12"/>
    </w:rPr>
  </w:style>
  <w:style w:type="character" w:customStyle="1" w:styleId="Gvdemetni65pt0ptbolukbraklyor">
    <w:name w:val="Gövde metni + 6;5 pt;0 pt boşluk bırakılıyor"/>
    <w:basedOn w:val="Gvdemetni"/>
    <w:rsid w:val="00A802EF"/>
    <w:rPr>
      <w:color w:val="000000"/>
      <w:spacing w:val="-8"/>
      <w:w w:val="100"/>
      <w:position w:val="0"/>
      <w:sz w:val="13"/>
      <w:szCs w:val="13"/>
      <w:lang w:val="tr-TR"/>
    </w:rPr>
  </w:style>
  <w:style w:type="character" w:customStyle="1" w:styleId="Gvdemetni7pt0ptbolukbraklyor">
    <w:name w:val="Gövde metni + 7 pt;0 pt boşluk bırakılıyor"/>
    <w:basedOn w:val="Gvdemetni"/>
    <w:rsid w:val="00A802EF"/>
    <w:rPr>
      <w:color w:val="000000"/>
      <w:spacing w:val="-11"/>
      <w:w w:val="100"/>
      <w:position w:val="0"/>
      <w:sz w:val="14"/>
      <w:szCs w:val="14"/>
      <w:lang w:val="tr-TR"/>
    </w:rPr>
  </w:style>
  <w:style w:type="character" w:customStyle="1" w:styleId="Gvdemetni7ptKaln0ptbolukbraklyor">
    <w:name w:val="Gövde metni + 7 pt;Kalın;0 pt boşluk bırakılıyor"/>
    <w:basedOn w:val="Gvdemetni"/>
    <w:rsid w:val="00A802EF"/>
    <w:rPr>
      <w:b/>
      <w:bCs/>
      <w:color w:val="000000"/>
      <w:spacing w:val="3"/>
      <w:w w:val="100"/>
      <w:position w:val="0"/>
      <w:sz w:val="14"/>
      <w:szCs w:val="14"/>
      <w:lang w:val="tr-TR"/>
    </w:rPr>
  </w:style>
  <w:style w:type="character" w:customStyle="1" w:styleId="Gvdemetni6ptKaln0ptbolukbraklyor">
    <w:name w:val="Gövde metni + 6 pt;Kalın;0 pt boşluk bırakılıyor"/>
    <w:basedOn w:val="Gvdemetni"/>
    <w:rsid w:val="00A802EF"/>
    <w:rPr>
      <w:b/>
      <w:bCs/>
      <w:color w:val="000000"/>
      <w:spacing w:val="-1"/>
      <w:w w:val="100"/>
      <w:position w:val="0"/>
      <w:sz w:val="12"/>
      <w:szCs w:val="12"/>
      <w:lang w:val="tr-TR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A802E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A80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6"/>
      <w:sz w:val="20"/>
      <w:szCs w:val="20"/>
    </w:rPr>
  </w:style>
  <w:style w:type="paragraph" w:customStyle="1" w:styleId="Balk10">
    <w:name w:val="Başlık #1"/>
    <w:basedOn w:val="Normal"/>
    <w:link w:val="Balk1"/>
    <w:rsid w:val="00A802EF"/>
    <w:pPr>
      <w:shd w:val="clear" w:color="auto" w:fill="FFFFFF"/>
      <w:spacing w:after="120" w:line="326" w:lineRule="exact"/>
      <w:jc w:val="center"/>
      <w:outlineLvl w:val="0"/>
    </w:pPr>
    <w:rPr>
      <w:rFonts w:ascii="Arial Narrow" w:eastAsia="Arial Narrow" w:hAnsi="Arial Narrow" w:cs="Arial Narrow"/>
      <w:b/>
      <w:bCs/>
      <w:spacing w:val="-3"/>
      <w:sz w:val="21"/>
      <w:szCs w:val="21"/>
    </w:rPr>
  </w:style>
  <w:style w:type="paragraph" w:customStyle="1" w:styleId="Tabloyazs20">
    <w:name w:val="Tablo yazısı (2)"/>
    <w:basedOn w:val="Normal"/>
    <w:link w:val="Tabloyazs2"/>
    <w:rsid w:val="00A80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2"/>
      <w:szCs w:val="12"/>
    </w:rPr>
  </w:style>
  <w:style w:type="paragraph" w:customStyle="1" w:styleId="Tabloyazs0">
    <w:name w:val="Tablo yazısı"/>
    <w:basedOn w:val="Normal"/>
    <w:link w:val="Tabloyazs"/>
    <w:rsid w:val="00A802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2"/>
      <w:szCs w:val="12"/>
    </w:rPr>
  </w:style>
  <w:style w:type="paragraph" w:customStyle="1" w:styleId="Gvdemetni0">
    <w:name w:val="Gövde metni"/>
    <w:basedOn w:val="Normal"/>
    <w:link w:val="Gvdemetni"/>
    <w:rsid w:val="00A802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bilgiveyaaltbilgi20">
    <w:name w:val="Üst bilgi veya alt bilgi (2)"/>
    <w:basedOn w:val="Normal"/>
    <w:link w:val="stbilgiveyaaltbilgi2"/>
    <w:rsid w:val="00A802E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2013-04-15T07:19:00Z</dcterms:created>
  <dcterms:modified xsi:type="dcterms:W3CDTF">2013-02-15T08:33:00Z</dcterms:modified>
</cp:coreProperties>
</file>