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63" w:rsidRDefault="00562463">
      <w:pPr>
        <w:pStyle w:val="Gvdemetni0"/>
        <w:shd w:val="clear" w:color="auto" w:fill="auto"/>
        <w:ind w:left="40"/>
        <w:rPr>
          <w:rStyle w:val="GvdemetniKaln50lek"/>
        </w:rPr>
      </w:pPr>
      <w:r>
        <w:rPr>
          <w:rStyle w:val="GvdemetniKaln50lek"/>
        </w:rPr>
        <w:t>BODRUM 2. İCRA MÜDÜRLÜĞÜ’NDEN TAŞINMAZIN AÇIK ARTIRMA İLANI</w:t>
      </w:r>
    </w:p>
    <w:p w:rsidR="00ED5855" w:rsidRDefault="00562463">
      <w:pPr>
        <w:pStyle w:val="Gvdemetni0"/>
        <w:shd w:val="clear" w:color="auto" w:fill="auto"/>
        <w:ind w:left="40"/>
      </w:pPr>
      <w:r>
        <w:rPr>
          <w:rStyle w:val="GvdemetniKaln50lek"/>
        </w:rPr>
        <w:t xml:space="preserve">Dosya No: </w:t>
      </w:r>
      <w:r w:rsidR="00EA1D69">
        <w:t>2009/1525 Esas</w:t>
      </w:r>
    </w:p>
    <w:p w:rsidR="00ED5855" w:rsidRDefault="00EA1D69">
      <w:pPr>
        <w:pStyle w:val="Gvdemetni0"/>
        <w:shd w:val="clear" w:color="auto" w:fill="auto"/>
        <w:ind w:left="40"/>
      </w:pPr>
      <w:r>
        <w:t>Satılmasına Karar verilen Taşınmazın Cinsi, Niteliği, Kıymeti ve önemli özellikleri:</w:t>
      </w:r>
    </w:p>
    <w:p w:rsidR="00ED5855" w:rsidRDefault="00EA1D69">
      <w:pPr>
        <w:pStyle w:val="Gvdemetni20"/>
        <w:shd w:val="clear" w:color="auto" w:fill="auto"/>
        <w:ind w:left="40"/>
      </w:pPr>
      <w:r>
        <w:t>-Tapu Kaydı:</w:t>
      </w:r>
    </w:p>
    <w:p w:rsidR="00ED5855" w:rsidRDefault="00EA1D69">
      <w:pPr>
        <w:pStyle w:val="Gvdemetni0"/>
        <w:shd w:val="clear" w:color="auto" w:fill="auto"/>
        <w:ind w:left="40" w:right="20"/>
      </w:pPr>
      <w:r>
        <w:t xml:space="preserve">Muğla ili, Bodrum ilçesi, </w:t>
      </w:r>
      <w:proofErr w:type="spellStart"/>
      <w:r>
        <w:t>Bitez</w:t>
      </w:r>
      <w:proofErr w:type="spellEnd"/>
      <w:r>
        <w:t xml:space="preserve"> köyü, Gündönümü mevkii, 2595 parselde kay® 5.390,84 m</w:t>
      </w:r>
      <w:r>
        <w:rPr>
          <w:vertAlign w:val="superscript"/>
        </w:rPr>
        <w:t>2</w:t>
      </w:r>
      <w:r>
        <w:t xml:space="preserve"> alanlı arsa vasfında taşınmazın 2/53 payı.</w:t>
      </w:r>
    </w:p>
    <w:p w:rsidR="00ED5855" w:rsidRDefault="00EA1D69">
      <w:pPr>
        <w:pStyle w:val="Gvdemetni0"/>
        <w:shd w:val="clear" w:color="auto" w:fill="auto"/>
        <w:ind w:left="40" w:right="20"/>
      </w:pPr>
      <w:r>
        <w:rPr>
          <w:rStyle w:val="GvdemetniKaln50lek"/>
        </w:rPr>
        <w:t xml:space="preserve">Hali Hazır Durumu: </w:t>
      </w:r>
      <w:r>
        <w:t xml:space="preserve">Satışa konu taşınmaz </w:t>
      </w:r>
      <w:proofErr w:type="spellStart"/>
      <w:r>
        <w:t>Gundönümu</w:t>
      </w:r>
      <w:proofErr w:type="spellEnd"/>
      <w:r>
        <w:t xml:space="preserve"> sahilindeki spor tesislerinin üst tarafında bulun</w:t>
      </w:r>
      <w:r>
        <w:softHyphen/>
        <w:t xml:space="preserve">maktadır. </w:t>
      </w:r>
      <w:proofErr w:type="spellStart"/>
      <w:r>
        <w:t>Bitez</w:t>
      </w:r>
      <w:proofErr w:type="spellEnd"/>
      <w:r>
        <w:t xml:space="preserve"> Belediyesine 3 km, </w:t>
      </w:r>
      <w:proofErr w:type="spellStart"/>
      <w:r>
        <w:t>Bitez</w:t>
      </w:r>
      <w:proofErr w:type="spellEnd"/>
      <w:r>
        <w:t xml:space="preserve"> sahiline 300 m, </w:t>
      </w:r>
      <w:proofErr w:type="spellStart"/>
      <w:r>
        <w:t>Bodrurrvraerkeze</w:t>
      </w:r>
      <w:proofErr w:type="spellEnd"/>
      <w:r>
        <w:t xml:space="preserve"> 6 km mesafede yer almaktadır. Çevre ve komşu parseller üzerinde konut amaçlı yapılaşmalar bulunmakta olup, bölgedeki yapılaşma yoğunluğu % 90 oranındadır. Taşınmaz </w:t>
      </w:r>
      <w:proofErr w:type="spellStart"/>
      <w:r>
        <w:t>Bitez</w:t>
      </w:r>
      <w:proofErr w:type="spellEnd"/>
      <w:r>
        <w:t xml:space="preserve"> Belediyesinin tüm altyapı hizmetlerinden faydalanmaktadır. </w:t>
      </w:r>
      <w:proofErr w:type="gramStart"/>
      <w:r>
        <w:t xml:space="preserve">Taşınmaz tapu </w:t>
      </w:r>
      <w:proofErr w:type="spellStart"/>
      <w:r>
        <w:t>kayıtlannda</w:t>
      </w:r>
      <w:proofErr w:type="spellEnd"/>
      <w:r>
        <w:t xml:space="preserve"> her ne kadar arsa olarak geçse de yerinde yapılan incelemede 5.390,84 m</w:t>
      </w:r>
      <w:r>
        <w:rPr>
          <w:vertAlign w:val="superscript"/>
        </w:rPr>
        <w:t>2</w:t>
      </w:r>
      <w:r>
        <w:t xml:space="preserve"> yüzölçümlü taşınmazın tamamı üzerinde 7 blok halinde üç katlı betonarme bloklardan oluşan konut amaçlı yapılaşmanın olduğu, ortak alanda sosyal tesis amaçlı bir blok ve yüzme havuzunun olduğu, yapılaşmanın site tarzı yapılaşma olduğu ve halen B-LİFE Sitesi olarak bilindiği tespit edilmiştir. </w:t>
      </w:r>
      <w:proofErr w:type="gramEnd"/>
      <w:r>
        <w:t xml:space="preserve">Parsel üzerinde üç katlı </w:t>
      </w:r>
      <w:proofErr w:type="spellStart"/>
      <w:r>
        <w:t>bloklann</w:t>
      </w:r>
      <w:proofErr w:type="spellEnd"/>
      <w:r>
        <w:t xml:space="preserve"> her birinde 6 adet bağımsız bölümün bulunduğu (bloğun her katında 2 adet daire) </w:t>
      </w:r>
      <w:proofErr w:type="spellStart"/>
      <w:r>
        <w:t>bloklann</w:t>
      </w:r>
      <w:proofErr w:type="spellEnd"/>
      <w:r>
        <w:t xml:space="preserve"> çevre </w:t>
      </w:r>
      <w:proofErr w:type="spellStart"/>
      <w:r>
        <w:t>duvarianyla</w:t>
      </w:r>
      <w:proofErr w:type="spellEnd"/>
      <w:r>
        <w:t xml:space="preserve"> birbirinden </w:t>
      </w:r>
      <w:proofErr w:type="spellStart"/>
      <w:r>
        <w:t>aynldığı</w:t>
      </w:r>
      <w:proofErr w:type="spellEnd"/>
      <w:r>
        <w:t xml:space="preserve"> ve tüm bağımsız bölümlerin tamamlanarak ikamet edilecek durumda olduğu çoğunda ikamet edildiği görülmüştür. </w:t>
      </w:r>
      <w:proofErr w:type="spellStart"/>
      <w:r>
        <w:t>Yapılann</w:t>
      </w:r>
      <w:proofErr w:type="spellEnd"/>
      <w:r>
        <w:t xml:space="preserve"> 3. Sınıf 3A Grubu inşaatlar olduğu, dış </w:t>
      </w:r>
      <w:proofErr w:type="spellStart"/>
      <w:r>
        <w:t>kapılann</w:t>
      </w:r>
      <w:proofErr w:type="spellEnd"/>
      <w:r>
        <w:t xml:space="preserve"> çelik, </w:t>
      </w:r>
      <w:proofErr w:type="spellStart"/>
      <w:r>
        <w:t>doğramalarm</w:t>
      </w:r>
      <w:proofErr w:type="spellEnd"/>
      <w:r>
        <w:t xml:space="preserve"> beyaz </w:t>
      </w:r>
      <w:proofErr w:type="spellStart"/>
      <w:r>
        <w:t>pwc</w:t>
      </w:r>
      <w:proofErr w:type="spellEnd"/>
      <w:r>
        <w:t xml:space="preserve">, dış cephelerin sıva üzeri boya, balkon </w:t>
      </w:r>
      <w:proofErr w:type="spellStart"/>
      <w:r>
        <w:t>korkuluklannın</w:t>
      </w:r>
      <w:proofErr w:type="spellEnd"/>
      <w:r>
        <w:t xml:space="preserve"> ferforje </w:t>
      </w:r>
      <w:proofErr w:type="spellStart"/>
      <w:r>
        <w:t>pergolelerinin</w:t>
      </w:r>
      <w:proofErr w:type="spellEnd"/>
      <w:r>
        <w:t xml:space="preserve"> ashap olduğu, çevre </w:t>
      </w:r>
      <w:proofErr w:type="spellStart"/>
      <w:r>
        <w:t>duvariannın</w:t>
      </w:r>
      <w:proofErr w:type="spellEnd"/>
      <w:r>
        <w:t xml:space="preserve"> taş duvar, bahçe tanzimlerinin eksiksiz olduğu, </w:t>
      </w:r>
      <w:proofErr w:type="spellStart"/>
      <w:r>
        <w:t>artak</w:t>
      </w:r>
      <w:proofErr w:type="spellEnd"/>
      <w:r>
        <w:t xml:space="preserve"> alandaki havuzun kullanılır olduğu görülmüştür. Bloklardaki tüm bağımsız bölümlerin fiili olarak yaklaşık 70 m</w:t>
      </w:r>
      <w:r>
        <w:rPr>
          <w:vertAlign w:val="superscript"/>
        </w:rPr>
        <w:t>2</w:t>
      </w:r>
      <w:r>
        <w:t xml:space="preserve"> kapalı kullanım alanı olduğu ve tamamının deniz manzaralı olduğu görülmüştür.</w:t>
      </w:r>
    </w:p>
    <w:p w:rsidR="00ED5855" w:rsidRDefault="00EA1D69">
      <w:pPr>
        <w:pStyle w:val="Gvdemetni0"/>
        <w:shd w:val="clear" w:color="auto" w:fill="auto"/>
        <w:ind w:left="40" w:right="20"/>
      </w:pPr>
      <w:proofErr w:type="gramStart"/>
      <w:r>
        <w:rPr>
          <w:rStyle w:val="GvdemetniKaln50lek"/>
        </w:rPr>
        <w:t xml:space="preserve">İmar Durumu: </w:t>
      </w:r>
      <w:proofErr w:type="spellStart"/>
      <w:r>
        <w:t>Bitez</w:t>
      </w:r>
      <w:proofErr w:type="spellEnd"/>
      <w:r>
        <w:t xml:space="preserve"> Belediye Başkanlığının 10.12.2010 tarihli yazısında parsel için 30.01.2004 tarih ve 2004/17 sayılı yapı ruhsatı düzenlenmiş olup, ruhsatın düzenleme tarihinde 1/1000 ölçekli Uygulama </w:t>
      </w:r>
      <w:proofErr w:type="spellStart"/>
      <w:r>
        <w:t>tmar</w:t>
      </w:r>
      <w:proofErr w:type="spellEnd"/>
      <w:r>
        <w:t xml:space="preserve"> Planında Turizm Tesis Alanında </w:t>
      </w:r>
      <w:proofErr w:type="spellStart"/>
      <w:r>
        <w:t>Taks</w:t>
      </w:r>
      <w:proofErr w:type="spellEnd"/>
      <w:r>
        <w:t xml:space="preserve">: % 15, </w:t>
      </w:r>
      <w:proofErr w:type="spellStart"/>
      <w:r>
        <w:t>Kaks</w:t>
      </w:r>
      <w:proofErr w:type="spellEnd"/>
      <w:r>
        <w:t>: % 30 olarak belirlenmiş iken, Belediye Meclisi tarafından 08.10.2010 tarih ve 43 sayıl Meclis Karan ile söz konusu plana dayanarak hiçbir işlem yapılmamasına dair karar alınmış ve söz konusu parsele ait şuan yürürlükte her hangi bir imar planı bulunmamaktadır.</w:t>
      </w:r>
      <w:proofErr w:type="gramEnd"/>
    </w:p>
    <w:p w:rsidR="00ED5855" w:rsidRDefault="00EA1D69">
      <w:pPr>
        <w:pStyle w:val="Gvdemetni20"/>
        <w:shd w:val="clear" w:color="auto" w:fill="auto"/>
        <w:ind w:left="40"/>
      </w:pPr>
      <w:r>
        <w:t xml:space="preserve">Muhammen Bedeli: </w:t>
      </w:r>
      <w:r>
        <w:rPr>
          <w:rStyle w:val="Gvdemetni2KalnDeil60lek"/>
        </w:rPr>
        <w:t>253.584,90 TL</w:t>
      </w:r>
    </w:p>
    <w:p w:rsidR="00ED5855" w:rsidRDefault="00EA1D69">
      <w:pPr>
        <w:pStyle w:val="Gvdemetni20"/>
        <w:shd w:val="clear" w:color="auto" w:fill="auto"/>
        <w:ind w:left="40"/>
      </w:pPr>
      <w:r>
        <w:t xml:space="preserve">K.D.V Oranı: </w:t>
      </w:r>
      <w:r>
        <w:rPr>
          <w:rStyle w:val="Gvdemetni2KalnDeil60lek"/>
        </w:rPr>
        <w:t>% 18</w:t>
      </w:r>
    </w:p>
    <w:p w:rsidR="00ED5855" w:rsidRDefault="00EA1D69">
      <w:pPr>
        <w:pStyle w:val="Gvdemetni0"/>
        <w:shd w:val="clear" w:color="auto" w:fill="auto"/>
        <w:ind w:left="40"/>
      </w:pPr>
      <w:r>
        <w:rPr>
          <w:rStyle w:val="GvdemetniKaln50lek"/>
        </w:rPr>
        <w:t xml:space="preserve">Satış Saati: </w:t>
      </w:r>
      <w:proofErr w:type="gramStart"/>
      <w:r>
        <w:t>11:00</w:t>
      </w:r>
      <w:proofErr w:type="gramEnd"/>
      <w:r>
        <w:t xml:space="preserve"> -11:05 Arası</w:t>
      </w:r>
    </w:p>
    <w:p w:rsidR="00ED5855" w:rsidRDefault="00EA1D69">
      <w:pPr>
        <w:pStyle w:val="Gvdemetni20"/>
        <w:shd w:val="clear" w:color="auto" w:fill="auto"/>
        <w:ind w:left="40"/>
      </w:pPr>
      <w:r>
        <w:lastRenderedPageBreak/>
        <w:t>Satış Şartları:</w:t>
      </w:r>
    </w:p>
    <w:p w:rsidR="00ED5855" w:rsidRDefault="00EA1D69">
      <w:pPr>
        <w:pStyle w:val="Gvdemetni0"/>
        <w:shd w:val="clear" w:color="auto" w:fill="auto"/>
        <w:ind w:left="40" w:right="20"/>
      </w:pPr>
      <w:r>
        <w:t>1 - Satış 2S.</w:t>
      </w:r>
      <w:proofErr w:type="gramStart"/>
      <w:r>
        <w:t>09.2012</w:t>
      </w:r>
      <w:proofErr w:type="gramEnd"/>
      <w:r>
        <w:t xml:space="preserve"> günü </w:t>
      </w:r>
      <w:proofErr w:type="spellStart"/>
      <w:r>
        <w:t>yukanda</w:t>
      </w:r>
      <w:proofErr w:type="spellEnd"/>
      <w:r>
        <w:t xml:space="preserve"> belirtilen saatler arasında Bodrum 2. icra </w:t>
      </w:r>
      <w:proofErr w:type="spellStart"/>
      <w:r>
        <w:t>Müdüdüğü</w:t>
      </w:r>
      <w:proofErr w:type="spellEnd"/>
      <w:r>
        <w:t xml:space="preserve"> Önü (Koridor) - Bodrum Adliyesi </w:t>
      </w:r>
      <w:proofErr w:type="spellStart"/>
      <w:r>
        <w:t>Bitez</w:t>
      </w:r>
      <w:proofErr w:type="spellEnd"/>
      <w:r>
        <w:t xml:space="preserve"> -BODRUM adresinde açık artırma suretiyle yapılacaktır. Bu artırmada tahmin edilen değerin % 60'ını ve rüçhanlı alacaklılar varsa alacaktan toplamını ve satış ve paylaştırma giderleri</w:t>
      </w:r>
      <w:r>
        <w:softHyphen/>
        <w:t xml:space="preserve">ni geçmek şartı ile ihale olunur. Böyle bir bedele alıcı çıkmazsa en çok artıranın taahhüdü saklı kalmak </w:t>
      </w:r>
      <w:proofErr w:type="spellStart"/>
      <w:r>
        <w:t>şartiyle</w:t>
      </w:r>
      <w:proofErr w:type="spellEnd"/>
      <w:r>
        <w:t xml:space="preserve"> 08.10.2012 günü Bodrum 2. icra Müdürlüğü önü (Koridor) - Bodrum Adliyesi </w:t>
      </w:r>
      <w:proofErr w:type="spellStart"/>
      <w:r>
        <w:t>Bitez</w:t>
      </w:r>
      <w:proofErr w:type="spellEnd"/>
      <w:r>
        <w:t xml:space="preserve"> -BODRUM adresinde </w:t>
      </w:r>
      <w:proofErr w:type="spellStart"/>
      <w:r>
        <w:t>yukanda</w:t>
      </w:r>
      <w:proofErr w:type="spellEnd"/>
      <w:r>
        <w:t xml:space="preserve"> belirtilen saatler arasında ikinci artırmaya </w:t>
      </w:r>
      <w:proofErr w:type="spellStart"/>
      <w:r>
        <w:t>çıkanlacaktır</w:t>
      </w:r>
      <w:proofErr w:type="spellEnd"/>
      <w:r>
        <w:t xml:space="preserve">. Bu artırmada da rüçhanlı ala- </w:t>
      </w:r>
      <w:proofErr w:type="spellStart"/>
      <w:r>
        <w:t>caklılann</w:t>
      </w:r>
      <w:proofErr w:type="spellEnd"/>
      <w:r>
        <w:t xml:space="preserve"> alacağını ve satış giderlerini geçmesi şartıyla en çok artırana ihale olunur. Şu kadar ki, artırma bedelinin malın tahmin edilen kıymetinin % 40’ını bulması ve satış isteyenin alacağına rüçhanı olan ala</w:t>
      </w:r>
      <w:r>
        <w:softHyphen/>
        <w:t xml:space="preserve">cakta toplamından fazla olması ve bundan başka paraya çevirme ve paylaştırma </w:t>
      </w:r>
      <w:proofErr w:type="spellStart"/>
      <w:r>
        <w:t>masraflannı</w:t>
      </w:r>
      <w:proofErr w:type="spellEnd"/>
      <w:r>
        <w:t xml:space="preserve"> geçme</w:t>
      </w:r>
      <w:r>
        <w:softHyphen/>
        <w:t>si lazımdır. Böyle fazla bedelle alıcı çıkmazsa satış talebi düşecektir.</w:t>
      </w:r>
    </w:p>
    <w:p w:rsidR="00ED5855" w:rsidRDefault="00EA1D69">
      <w:pPr>
        <w:pStyle w:val="Gvdemetni0"/>
        <w:numPr>
          <w:ilvl w:val="0"/>
          <w:numId w:val="1"/>
        </w:numPr>
        <w:shd w:val="clear" w:color="auto" w:fill="auto"/>
        <w:tabs>
          <w:tab w:val="left" w:pos="266"/>
        </w:tabs>
        <w:ind w:left="40" w:right="20"/>
      </w:pPr>
      <w:r>
        <w:t>Artırmaya iştirak edeceklerin, tahmin edilen kıymetin % 20‘si nispetinde Türk Lirası peşin para veya bu miktar kadar milli bir bankanın teminat mektubunu vermeleri lazımdır. Satış peşin para iledir. Alıcı iste</w:t>
      </w:r>
      <w:r>
        <w:softHyphen/>
        <w:t xml:space="preserve">diğinde 10 günü geçmemek üzere mehil verilebilir. Tapu Harcı alıcı payı, ihale Damga Vergisi ile K.D.V. alıcıya aittir. Birikmiş vergiler ve </w:t>
      </w:r>
      <w:proofErr w:type="gramStart"/>
      <w:r>
        <w:t>Tellaliye</w:t>
      </w:r>
      <w:proofErr w:type="gramEnd"/>
      <w:r>
        <w:t xml:space="preserve"> Ücreti ve Tapu Harcı satıcı payı satış bedelinden ödenir.</w:t>
      </w:r>
    </w:p>
    <w:p w:rsidR="00ED5855" w:rsidRDefault="00EA1D69">
      <w:pPr>
        <w:pStyle w:val="Gvdemetni0"/>
        <w:numPr>
          <w:ilvl w:val="0"/>
          <w:numId w:val="1"/>
        </w:numPr>
        <w:shd w:val="clear" w:color="auto" w:fill="auto"/>
        <w:tabs>
          <w:tab w:val="left" w:pos="280"/>
        </w:tabs>
        <w:ind w:left="40" w:right="20"/>
      </w:pPr>
      <w:proofErr w:type="gramStart"/>
      <w:r>
        <w:t>ipotek</w:t>
      </w:r>
      <w:proofErr w:type="gramEnd"/>
      <w:r>
        <w:t xml:space="preserve"> sahibi alacaklılarla diğer ilgililerin (*) bu taşınmaz üzerindeki </w:t>
      </w:r>
      <w:proofErr w:type="spellStart"/>
      <w:r>
        <w:t>haklannı</w:t>
      </w:r>
      <w:proofErr w:type="spellEnd"/>
      <w:r>
        <w:t xml:space="preserve"> hususiyle faiz ve mas</w:t>
      </w:r>
      <w:r>
        <w:softHyphen/>
        <w:t>rafa dair olan iddialarını dayanağı belgeler ile on beş gün içinde dairemize bildirmeleri lazımdır. Aksi takdirde haklan tapu sicili ile sabit olmadıkça paylaştırmadan hariç bırakılacaktır.</w:t>
      </w:r>
    </w:p>
    <w:p w:rsidR="00ED5855" w:rsidRDefault="00EA1D69">
      <w:pPr>
        <w:pStyle w:val="Gvdemetni0"/>
        <w:numPr>
          <w:ilvl w:val="0"/>
          <w:numId w:val="1"/>
        </w:numPr>
        <w:shd w:val="clear" w:color="auto" w:fill="auto"/>
        <w:tabs>
          <w:tab w:val="left" w:pos="270"/>
        </w:tabs>
        <w:ind w:left="40" w:right="20"/>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w:t>
      </w:r>
      <w:proofErr w:type="spellStart"/>
      <w:r>
        <w:t>zaradardan</w:t>
      </w:r>
      <w:proofErr w:type="spellEnd"/>
      <w:r>
        <w:t xml:space="preserve"> ve </w:t>
      </w:r>
      <w:proofErr w:type="spellStart"/>
      <w:r>
        <w:t>aynca</w:t>
      </w:r>
      <w:proofErr w:type="spellEnd"/>
      <w:r>
        <w:t xml:space="preserve"> temer</w:t>
      </w:r>
      <w:r>
        <w:softHyphen/>
        <w:t xml:space="preserve">rüt faizinden </w:t>
      </w:r>
      <w:proofErr w:type="spellStart"/>
      <w:r>
        <w:t>müteselsilen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w:t>
      </w:r>
      <w:proofErr w:type="spellStart"/>
      <w:r>
        <w:t>temifet</w:t>
      </w:r>
      <w:proofErr w:type="spellEnd"/>
      <w:r>
        <w:t xml:space="preserve"> bedelinden alınacaktır.</w:t>
      </w:r>
    </w:p>
    <w:p w:rsidR="00ED5855" w:rsidRDefault="00EA1D69">
      <w:pPr>
        <w:pStyle w:val="Gvdemetni0"/>
        <w:numPr>
          <w:ilvl w:val="0"/>
          <w:numId w:val="1"/>
        </w:numPr>
        <w:shd w:val="clear" w:color="auto" w:fill="auto"/>
        <w:tabs>
          <w:tab w:val="left" w:pos="266"/>
        </w:tabs>
        <w:ind w:left="40" w:right="20"/>
      </w:pPr>
      <w:r>
        <w:t xml:space="preserve">Şartname, ilan tarihinden </w:t>
      </w:r>
      <w:proofErr w:type="spellStart"/>
      <w:r>
        <w:t>itib</w:t>
      </w:r>
      <w:proofErr w:type="spellEnd"/>
      <w:r>
        <w:t>#en helkesin görebilmesi için dairede açık olup gideri verildiği takdirde isteyen alıcıya bir örneği gönderilebilir.</w:t>
      </w:r>
    </w:p>
    <w:p w:rsidR="00ED5855" w:rsidRDefault="00EA1D69">
      <w:pPr>
        <w:pStyle w:val="Gvdemetni0"/>
        <w:numPr>
          <w:ilvl w:val="0"/>
          <w:numId w:val="1"/>
        </w:numPr>
        <w:shd w:val="clear" w:color="auto" w:fill="auto"/>
        <w:tabs>
          <w:tab w:val="left" w:pos="266"/>
        </w:tabs>
        <w:ind w:left="40" w:right="20"/>
      </w:pPr>
      <w:r>
        <w:t xml:space="preserve">Satışa iştirak edenlerin şartnameyi görmüş ve münderecatını kabul etmiş </w:t>
      </w:r>
      <w:proofErr w:type="spellStart"/>
      <w:r>
        <w:t>sayılacaklan</w:t>
      </w:r>
      <w:proofErr w:type="spellEnd"/>
      <w:r>
        <w:t xml:space="preserve">, başkaca bilgi almak isteyenlerin </w:t>
      </w:r>
      <w:proofErr w:type="spellStart"/>
      <w:r>
        <w:t>yukanda</w:t>
      </w:r>
      <w:proofErr w:type="spellEnd"/>
      <w:r>
        <w:t xml:space="preserve"> yazılı dosya numarasıyla </w:t>
      </w:r>
      <w:proofErr w:type="spellStart"/>
      <w:r>
        <w:t>müdüdüğümüze</w:t>
      </w:r>
      <w:proofErr w:type="spellEnd"/>
      <w:r>
        <w:t xml:space="preserve"> </w:t>
      </w:r>
      <w:proofErr w:type="spellStart"/>
      <w:r>
        <w:t>başvurmalan</w:t>
      </w:r>
      <w:proofErr w:type="spellEnd"/>
      <w:r>
        <w:t xml:space="preserve"> ilan olunur.</w:t>
      </w:r>
    </w:p>
    <w:p w:rsidR="00ED5855" w:rsidRDefault="00EA1D69">
      <w:pPr>
        <w:pStyle w:val="Gvdemetni0"/>
        <w:shd w:val="clear" w:color="auto" w:fill="auto"/>
        <w:ind w:left="40"/>
      </w:pPr>
      <w:proofErr w:type="gramStart"/>
      <w:r>
        <w:t>iş</w:t>
      </w:r>
      <w:proofErr w:type="gramEnd"/>
      <w:r>
        <w:t xml:space="preserve"> bu ilan tebligat yapılamayan ilgililere tebligat yerine kaim olmak üzere ilan olunur.</w:t>
      </w:r>
    </w:p>
    <w:p w:rsidR="00ED5855" w:rsidRDefault="00EA1D69">
      <w:pPr>
        <w:pStyle w:val="Gvdemetni0"/>
        <w:shd w:val="clear" w:color="auto" w:fill="auto"/>
        <w:ind w:left="40"/>
      </w:pPr>
      <w:r>
        <w:t xml:space="preserve">(*) ilgililer tabirine irtifak hakkı </w:t>
      </w:r>
      <w:proofErr w:type="spellStart"/>
      <w:r>
        <w:t>sahipleride</w:t>
      </w:r>
      <w:proofErr w:type="spellEnd"/>
      <w:r>
        <w:t xml:space="preserve"> </w:t>
      </w:r>
      <w:proofErr w:type="gramStart"/>
      <w:r>
        <w:t>dahildir</w:t>
      </w:r>
      <w:proofErr w:type="gramEnd"/>
      <w:r>
        <w:t>.</w:t>
      </w:r>
    </w:p>
    <w:p w:rsidR="00ED5855" w:rsidRDefault="00EA1D69">
      <w:pPr>
        <w:pStyle w:val="Gvdemetni20"/>
        <w:shd w:val="clear" w:color="auto" w:fill="auto"/>
        <w:tabs>
          <w:tab w:val="left" w:pos="3486"/>
        </w:tabs>
        <w:ind w:left="40"/>
        <w:sectPr w:rsidR="00ED5855">
          <w:type w:val="continuous"/>
          <w:pgSz w:w="11909" w:h="16838"/>
          <w:pgMar w:top="4482" w:right="463" w:bottom="4132" w:left="703" w:header="0" w:footer="3" w:gutter="0"/>
          <w:cols w:num="2" w:sep="1" w:space="374"/>
          <w:noEndnote/>
          <w:docGrid w:linePitch="360"/>
        </w:sectPr>
      </w:pPr>
      <w:r>
        <w:rPr>
          <w:rStyle w:val="Gvdemetni2KalnDeil60lek"/>
        </w:rPr>
        <w:t>(</w:t>
      </w:r>
      <w:proofErr w:type="spellStart"/>
      <w:r>
        <w:rPr>
          <w:rStyle w:val="Gvdemetni2KalnDeil60lek"/>
        </w:rPr>
        <w:t>IİKm</w:t>
      </w:r>
      <w:proofErr w:type="spellEnd"/>
      <w:r>
        <w:rPr>
          <w:rStyle w:val="Gvdemetni2KalnDeil60lek"/>
        </w:rPr>
        <w:t>.126)</w:t>
      </w:r>
      <w:r>
        <w:rPr>
          <w:rStyle w:val="Gvdemetni2KalnDeil60lek"/>
        </w:rPr>
        <w:tab/>
      </w:r>
      <w:r>
        <w:t xml:space="preserve">BASIN: 49436 </w:t>
      </w:r>
      <w:r>
        <w:rPr>
          <w:lang w:val="en-US"/>
        </w:rPr>
        <w:t>(</w:t>
      </w:r>
      <w:hyperlink r:id="rId7" w:history="1">
        <w:r>
          <w:rPr>
            <w:rStyle w:val="Kpr"/>
            <w:lang w:val="en-US"/>
          </w:rPr>
          <w:t>www.bik.gov.tr</w:t>
        </w:r>
      </w:hyperlink>
      <w:r>
        <w:rPr>
          <w:lang w:val="en-US"/>
        </w:rPr>
        <w:t>)</w:t>
      </w:r>
    </w:p>
    <w:p w:rsidR="00ED5855" w:rsidRDefault="00ED5855">
      <w:pPr>
        <w:spacing w:line="72" w:lineRule="exact"/>
        <w:rPr>
          <w:sz w:val="6"/>
          <w:szCs w:val="6"/>
        </w:rPr>
      </w:pPr>
    </w:p>
    <w:p w:rsidR="00ED5855" w:rsidRDefault="00ED5855">
      <w:pPr>
        <w:rPr>
          <w:sz w:val="2"/>
          <w:szCs w:val="2"/>
        </w:rPr>
        <w:sectPr w:rsidR="00ED5855">
          <w:type w:val="continuous"/>
          <w:pgSz w:w="11909" w:h="16838"/>
          <w:pgMar w:top="0" w:right="0" w:bottom="0" w:left="0" w:header="0" w:footer="3" w:gutter="0"/>
          <w:cols w:space="720"/>
          <w:noEndnote/>
          <w:docGrid w:linePitch="360"/>
        </w:sectPr>
      </w:pPr>
    </w:p>
    <w:p w:rsidR="00AF5CB9" w:rsidRDefault="00AF5CB9"/>
    <w:sectPr w:rsidR="00AF5CB9" w:rsidSect="00ED5855">
      <w:type w:val="continuous"/>
      <w:pgSz w:w="11909" w:h="16838"/>
      <w:pgMar w:top="4482" w:right="257" w:bottom="4132" w:left="5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B5" w:rsidRDefault="002850B5" w:rsidP="00ED5855">
      <w:r>
        <w:separator/>
      </w:r>
    </w:p>
  </w:endnote>
  <w:endnote w:type="continuationSeparator" w:id="0">
    <w:p w:rsidR="002850B5" w:rsidRDefault="002850B5" w:rsidP="00ED585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B5" w:rsidRDefault="002850B5"/>
  </w:footnote>
  <w:footnote w:type="continuationSeparator" w:id="0">
    <w:p w:rsidR="002850B5" w:rsidRDefault="002850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111EC"/>
    <w:multiLevelType w:val="multilevel"/>
    <w:tmpl w:val="F23C7A92"/>
    <w:lvl w:ilvl="0">
      <w:start w:val="2"/>
      <w:numFmt w:val="decimal"/>
      <w:lvlText w:val="%1-"/>
      <w:lvlJc w:val="left"/>
      <w:rPr>
        <w:rFonts w:ascii="Tahoma" w:eastAsia="Tahoma" w:hAnsi="Tahoma" w:cs="Tahoma"/>
        <w:b w:val="0"/>
        <w:bCs w:val="0"/>
        <w:i w:val="0"/>
        <w:iCs w:val="0"/>
        <w:smallCaps w:val="0"/>
        <w:strike w:val="0"/>
        <w:color w:val="000000"/>
        <w:spacing w:val="0"/>
        <w:w w:val="6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D5855"/>
    <w:rsid w:val="002850B5"/>
    <w:rsid w:val="00562463"/>
    <w:rsid w:val="00AF5CB9"/>
    <w:rsid w:val="00E55456"/>
    <w:rsid w:val="00EA1D69"/>
    <w:rsid w:val="00ED58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585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D5855"/>
    <w:rPr>
      <w:color w:val="000080"/>
      <w:u w:val="single"/>
    </w:rPr>
  </w:style>
  <w:style w:type="character" w:customStyle="1" w:styleId="Gvdemetni">
    <w:name w:val="Gövde metni_"/>
    <w:basedOn w:val="VarsaylanParagrafYazTipi"/>
    <w:link w:val="Gvdemetni0"/>
    <w:rsid w:val="00ED5855"/>
    <w:rPr>
      <w:rFonts w:ascii="Tahoma" w:eastAsia="Tahoma" w:hAnsi="Tahoma" w:cs="Tahoma"/>
      <w:b w:val="0"/>
      <w:bCs w:val="0"/>
      <w:i w:val="0"/>
      <w:iCs w:val="0"/>
      <w:smallCaps w:val="0"/>
      <w:strike w:val="0"/>
      <w:w w:val="60"/>
      <w:sz w:val="19"/>
      <w:szCs w:val="19"/>
      <w:u w:val="none"/>
    </w:rPr>
  </w:style>
  <w:style w:type="character" w:customStyle="1" w:styleId="GvdemetniKaln50lek">
    <w:name w:val="Gövde metni + Kalın;50% ölçek"/>
    <w:basedOn w:val="Gvdemetni"/>
    <w:rsid w:val="00ED5855"/>
    <w:rPr>
      <w:b/>
      <w:bCs/>
      <w:color w:val="000000"/>
      <w:spacing w:val="0"/>
      <w:w w:val="50"/>
      <w:position w:val="0"/>
      <w:lang w:val="tr-TR"/>
    </w:rPr>
  </w:style>
  <w:style w:type="character" w:customStyle="1" w:styleId="Gvdemetni2">
    <w:name w:val="Gövde metni (2)_"/>
    <w:basedOn w:val="VarsaylanParagrafYazTipi"/>
    <w:link w:val="Gvdemetni20"/>
    <w:rsid w:val="00ED5855"/>
    <w:rPr>
      <w:rFonts w:ascii="Tahoma" w:eastAsia="Tahoma" w:hAnsi="Tahoma" w:cs="Tahoma"/>
      <w:b/>
      <w:bCs/>
      <w:i w:val="0"/>
      <w:iCs w:val="0"/>
      <w:smallCaps w:val="0"/>
      <w:strike w:val="0"/>
      <w:w w:val="50"/>
      <w:sz w:val="19"/>
      <w:szCs w:val="19"/>
      <w:u w:val="none"/>
    </w:rPr>
  </w:style>
  <w:style w:type="character" w:customStyle="1" w:styleId="Gvdemetni2KalnDeil60lek">
    <w:name w:val="Gövde metni (2) + Kalın Değil;60% ölçek"/>
    <w:basedOn w:val="Gvdemetni2"/>
    <w:rsid w:val="00ED5855"/>
    <w:rPr>
      <w:b/>
      <w:bCs/>
      <w:color w:val="000000"/>
      <w:spacing w:val="0"/>
      <w:w w:val="60"/>
      <w:position w:val="0"/>
      <w:lang w:val="tr-TR"/>
    </w:rPr>
  </w:style>
  <w:style w:type="paragraph" w:customStyle="1" w:styleId="Gvdemetni0">
    <w:name w:val="Gövde metni"/>
    <w:basedOn w:val="Normal"/>
    <w:link w:val="Gvdemetni"/>
    <w:rsid w:val="00ED5855"/>
    <w:pPr>
      <w:shd w:val="clear" w:color="auto" w:fill="FFFFFF"/>
      <w:spacing w:line="245" w:lineRule="exact"/>
      <w:jc w:val="both"/>
    </w:pPr>
    <w:rPr>
      <w:rFonts w:ascii="Tahoma" w:eastAsia="Tahoma" w:hAnsi="Tahoma" w:cs="Tahoma"/>
      <w:w w:val="60"/>
      <w:sz w:val="19"/>
      <w:szCs w:val="19"/>
    </w:rPr>
  </w:style>
  <w:style w:type="paragraph" w:customStyle="1" w:styleId="Gvdemetni20">
    <w:name w:val="Gövde metni (2)"/>
    <w:basedOn w:val="Normal"/>
    <w:link w:val="Gvdemetni2"/>
    <w:rsid w:val="00ED5855"/>
    <w:pPr>
      <w:shd w:val="clear" w:color="auto" w:fill="FFFFFF"/>
      <w:spacing w:line="245" w:lineRule="exact"/>
      <w:jc w:val="both"/>
    </w:pPr>
    <w:rPr>
      <w:rFonts w:ascii="Tahoma" w:eastAsia="Tahoma" w:hAnsi="Tahoma" w:cs="Tahoma"/>
      <w:b/>
      <w:bCs/>
      <w:w w:val="5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2012-08-09T13:59:00Z</dcterms:created>
  <dcterms:modified xsi:type="dcterms:W3CDTF">2012-08-09T13:59:00Z</dcterms:modified>
</cp:coreProperties>
</file>