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EC4" w:rsidRDefault="00521824">
      <w:pPr>
        <w:pStyle w:val="Balk10"/>
        <w:keepNext/>
        <w:keepLines/>
        <w:shd w:val="clear" w:color="auto" w:fill="000000"/>
        <w:sectPr w:rsidR="00F15EC4">
          <w:type w:val="continuous"/>
          <w:pgSz w:w="11909" w:h="16838"/>
          <w:pgMar w:top="2070" w:right="3093" w:bottom="3030" w:left="3880" w:header="0" w:footer="3" w:gutter="0"/>
          <w:cols w:space="720"/>
          <w:noEndnote/>
          <w:docGrid w:linePitch="360"/>
        </w:sectPr>
      </w:pPr>
      <w:bookmarkStart w:id="0" w:name="bookmark0"/>
      <w:r>
        <w:rPr>
          <w:rStyle w:val="Balk11"/>
          <w:b/>
          <w:bCs/>
        </w:rPr>
        <w:t>BÜ</w:t>
      </w:r>
      <w:r w:rsidR="00ED2752">
        <w:rPr>
          <w:rStyle w:val="Balk11"/>
          <w:b/>
          <w:bCs/>
        </w:rPr>
        <w:t>YÜKÇEKMECE 2. İCRA MÜDÜRLÜGÜ’NDEN TAŞINMAZIN AÇIK ARTIRMA İLANI</w:t>
      </w:r>
      <w:bookmarkEnd w:id="0"/>
    </w:p>
    <w:p w:rsidR="00F15EC4" w:rsidRDefault="00F15EC4">
      <w:pPr>
        <w:spacing w:line="177" w:lineRule="exact"/>
        <w:rPr>
          <w:sz w:val="14"/>
          <w:szCs w:val="14"/>
        </w:rPr>
      </w:pPr>
    </w:p>
    <w:p w:rsidR="00F15EC4" w:rsidRDefault="00F15EC4">
      <w:pPr>
        <w:rPr>
          <w:sz w:val="2"/>
          <w:szCs w:val="2"/>
        </w:rPr>
        <w:sectPr w:rsidR="00F15EC4">
          <w:type w:val="continuous"/>
          <w:pgSz w:w="11909" w:h="16838"/>
          <w:pgMar w:top="0" w:right="0" w:bottom="0" w:left="0" w:header="0" w:footer="3" w:gutter="0"/>
          <w:cols w:space="720"/>
          <w:noEndnote/>
          <w:docGrid w:linePitch="360"/>
        </w:sectPr>
      </w:pPr>
    </w:p>
    <w:p w:rsidR="00F15EC4" w:rsidRDefault="00770C40">
      <w:pPr>
        <w:rPr>
          <w:sz w:val="2"/>
          <w:szCs w:val="2"/>
        </w:rPr>
      </w:pPr>
      <w:r w:rsidRPr="00770C40">
        <w:lastRenderedPageBreak/>
        <w:pict>
          <v:shapetype id="_x0000_t202" coordsize="21600,21600" o:spt="202" path="m,l,21600r21600,l21600,xe">
            <v:stroke joinstyle="miter"/>
            <v:path gradientshapeok="t" o:connecttype="rect"/>
          </v:shapetype>
          <v:shape id="_x0000_s1026" type="#_x0000_t202" style="position:absolute;margin-left:322pt;margin-top:138.95pt;width:13.05pt;height:4.9pt;z-index:-251658752;mso-wrap-distance-left:5pt;mso-wrap-distance-right:5pt;mso-position-horizontal-relative:margin" filled="f" stroked="f">
            <v:textbox style="mso-fit-shape-to-text:t" inset="0,0,0,0">
              <w:txbxContent>
                <w:p w:rsidR="00F15EC4" w:rsidRDefault="00ED2752">
                  <w:pPr>
                    <w:pStyle w:val="Gvdemetni3"/>
                    <w:shd w:val="clear" w:color="auto" w:fill="auto"/>
                    <w:spacing w:line="80" w:lineRule="exact"/>
                    <w:ind w:left="100"/>
                  </w:pPr>
                  <w:r>
                    <w:t>* -</w:t>
                  </w:r>
                </w:p>
              </w:txbxContent>
            </v:textbox>
            <w10:wrap type="square" anchorx="margin"/>
          </v:shape>
        </w:pict>
      </w:r>
    </w:p>
    <w:p w:rsidR="00F15EC4" w:rsidRDefault="00ED2752">
      <w:pPr>
        <w:pStyle w:val="Gvdemetni20"/>
        <w:shd w:val="clear" w:color="auto" w:fill="auto"/>
        <w:ind w:right="20"/>
      </w:pPr>
      <w:r>
        <w:t>DOSYA NO: 2012 /1151 TAL.</w:t>
      </w:r>
    </w:p>
    <w:p w:rsidR="00F15EC4" w:rsidRDefault="00ED2752">
      <w:pPr>
        <w:pStyle w:val="Gvdemetni20"/>
        <w:shd w:val="clear" w:color="auto" w:fill="auto"/>
        <w:ind w:right="20"/>
      </w:pPr>
      <w:r>
        <w:t>Örnek No:27</w:t>
      </w:r>
    </w:p>
    <w:p w:rsidR="00F15EC4" w:rsidRDefault="00ED2752">
      <w:pPr>
        <w:pStyle w:val="Gvdemetni0"/>
        <w:shd w:val="clear" w:color="auto" w:fill="auto"/>
        <w:ind w:left="20" w:right="20" w:firstLine="140"/>
      </w:pPr>
      <w:r>
        <w:t>Bir borçtan dolayı hacizli bulunan ve aşağıda özellikleri yazılı taşınmazın açık arttırma suretiy</w:t>
      </w:r>
      <w:r>
        <w:softHyphen/>
        <w:t>le satılarak paraya çevrilmesine karar verilmiştir.</w:t>
      </w:r>
    </w:p>
    <w:p w:rsidR="00F15EC4" w:rsidRDefault="00ED2752">
      <w:pPr>
        <w:pStyle w:val="Gvdemetni0"/>
        <w:shd w:val="clear" w:color="auto" w:fill="auto"/>
        <w:ind w:left="20" w:right="20" w:firstLine="140"/>
      </w:pPr>
      <w:r>
        <w:t>Satış ilanı ilgililerin adreslerine tebliğe gönde</w:t>
      </w:r>
      <w:r>
        <w:softHyphen/>
        <w:t>rilmiş olup adresle tebligat yapılamaması veya adresleri bilinmeyenler için de işbu satış ilanının ilanen tebligat yerine kaim olacağı ilan olunur.</w:t>
      </w:r>
    </w:p>
    <w:p w:rsidR="00F15EC4" w:rsidRDefault="00ED2752">
      <w:pPr>
        <w:pStyle w:val="Gvdemetni0"/>
        <w:shd w:val="clear" w:color="auto" w:fill="auto"/>
        <w:ind w:left="20" w:right="20" w:firstLine="140"/>
      </w:pPr>
      <w:r>
        <w:rPr>
          <w:rStyle w:val="GvdemetniKaln"/>
        </w:rPr>
        <w:t xml:space="preserve">TAPU KAYDI: </w:t>
      </w:r>
      <w:r>
        <w:t xml:space="preserve">İstanbul ili </w:t>
      </w:r>
      <w:proofErr w:type="spellStart"/>
      <w:r>
        <w:t>Biiyükçekmece</w:t>
      </w:r>
      <w:proofErr w:type="spellEnd"/>
      <w:r>
        <w:t xml:space="preserve"> ilçe</w:t>
      </w:r>
      <w:r>
        <w:softHyphen/>
        <w:t xml:space="preserve">si. </w:t>
      </w:r>
      <w:proofErr w:type="spellStart"/>
      <w:r>
        <w:t>Türkoba</w:t>
      </w:r>
      <w:proofErr w:type="spellEnd"/>
      <w:r>
        <w:t xml:space="preserve"> </w:t>
      </w:r>
      <w:proofErr w:type="spellStart"/>
      <w:r>
        <w:t>Mh</w:t>
      </w:r>
      <w:proofErr w:type="spellEnd"/>
      <w:proofErr w:type="gramStart"/>
      <w:r>
        <w:t>.,</w:t>
      </w:r>
      <w:proofErr w:type="gramEnd"/>
      <w:r>
        <w:t xml:space="preserve"> 107 Ada.3 parselde kayıtlı. 1712/193700 arsa paylı. 58 </w:t>
      </w:r>
      <w:proofErr w:type="spellStart"/>
      <w:r>
        <w:t>nolu</w:t>
      </w:r>
      <w:proofErr w:type="spellEnd"/>
      <w:r>
        <w:t xml:space="preserve"> </w:t>
      </w:r>
      <w:proofErr w:type="gramStart"/>
      <w:r>
        <w:t>dubleks</w:t>
      </w:r>
      <w:proofErr w:type="gramEnd"/>
      <w:r>
        <w:t xml:space="preserve"> mes</w:t>
      </w:r>
      <w:r>
        <w:softHyphen/>
        <w:t xml:space="preserve">ken niteliğindeki taşınmazın tamamı Tayfun </w:t>
      </w:r>
      <w:proofErr w:type="spellStart"/>
      <w:r>
        <w:t>Ka</w:t>
      </w:r>
      <w:proofErr w:type="spellEnd"/>
      <w:r>
        <w:t xml:space="preserve">- </w:t>
      </w:r>
      <w:proofErr w:type="spellStart"/>
      <w:r>
        <w:t>raçay</w:t>
      </w:r>
      <w:proofErr w:type="spellEnd"/>
      <w:r>
        <w:t xml:space="preserve"> adına kayıtlı olup taşınmaz kaydı üzerin</w:t>
      </w:r>
      <w:r>
        <w:softHyphen/>
        <w:t>de ipotek ve rehin hakkının olduğu görülmekte</w:t>
      </w:r>
      <w:r>
        <w:softHyphen/>
        <w:t>dir.</w:t>
      </w:r>
    </w:p>
    <w:p w:rsidR="00F15EC4" w:rsidRDefault="00ED2752">
      <w:pPr>
        <w:pStyle w:val="Gvdemetni0"/>
        <w:shd w:val="clear" w:color="auto" w:fill="auto"/>
        <w:ind w:left="20" w:right="20" w:firstLine="140"/>
      </w:pPr>
      <w:r>
        <w:rPr>
          <w:rStyle w:val="GvdemetniKaln"/>
        </w:rPr>
        <w:t xml:space="preserve">İMAR DURUMU: </w:t>
      </w:r>
      <w:r>
        <w:t>Büyükçekmece Belediye Başkanlığının 07.03.2012 tarihli yazısında; Bü</w:t>
      </w:r>
      <w:r>
        <w:softHyphen/>
        <w:t xml:space="preserve">yükçekmece </w:t>
      </w:r>
      <w:proofErr w:type="spellStart"/>
      <w:r>
        <w:t>Türkoba</w:t>
      </w:r>
      <w:proofErr w:type="spellEnd"/>
      <w:r>
        <w:t xml:space="preserve"> </w:t>
      </w:r>
      <w:proofErr w:type="spellStart"/>
      <w:r>
        <w:t>Mh</w:t>
      </w:r>
      <w:proofErr w:type="spellEnd"/>
      <w:r>
        <w:t xml:space="preserve">„ 107 Ada. 3 Parselin 01.04.1996 tarih onaylı 1/1000 ölçekli </w:t>
      </w:r>
      <w:proofErr w:type="spellStart"/>
      <w:r>
        <w:t>Türkoba</w:t>
      </w:r>
      <w:proofErr w:type="spellEnd"/>
      <w:r>
        <w:t xml:space="preserve"> Köyü uygulama imar planı kapsamında kaldığı, E= 0.10. ayrık nizam 2 kat (H=6.50) kat olarak ayrıldığı belirtilmektedir.</w:t>
      </w:r>
    </w:p>
    <w:p w:rsidR="00F15EC4" w:rsidRDefault="00ED2752">
      <w:pPr>
        <w:pStyle w:val="Gvdemetni0"/>
        <w:shd w:val="clear" w:color="auto" w:fill="auto"/>
        <w:ind w:left="20" w:right="20" w:firstLine="140"/>
      </w:pPr>
      <w:r>
        <w:rPr>
          <w:rStyle w:val="GvdemetniKaln"/>
        </w:rPr>
        <w:t xml:space="preserve">GAYRİMENKULUN HALİ HAZIR DURUMU ve NİTELİKLERİ: </w:t>
      </w:r>
      <w:r>
        <w:t>Satışa konu taşınmaz, Büyük</w:t>
      </w:r>
      <w:r>
        <w:softHyphen/>
        <w:t xml:space="preserve">çekmece ilçesi </w:t>
      </w:r>
      <w:proofErr w:type="spellStart"/>
      <w:r>
        <w:t>Türkoba</w:t>
      </w:r>
      <w:proofErr w:type="spellEnd"/>
      <w:r>
        <w:t>-</w:t>
      </w:r>
      <w:proofErr w:type="spellStart"/>
      <w:r>
        <w:t>Tepekent</w:t>
      </w:r>
      <w:proofErr w:type="spellEnd"/>
      <w:r>
        <w:t xml:space="preserve"> </w:t>
      </w:r>
      <w:proofErr w:type="spellStart"/>
      <w:r>
        <w:t>Mh</w:t>
      </w:r>
      <w:proofErr w:type="spellEnd"/>
      <w:proofErr w:type="gramStart"/>
      <w:r>
        <w:t>.,</w:t>
      </w:r>
      <w:proofErr w:type="gramEnd"/>
      <w:r>
        <w:t xml:space="preserve"> 107 ada 3 parselinde kayıtlı dubleks villa olup, adres ola</w:t>
      </w:r>
      <w:r>
        <w:softHyphen/>
        <w:t xml:space="preserve">rak </w:t>
      </w:r>
      <w:proofErr w:type="spellStart"/>
      <w:r>
        <w:t>Tepekent</w:t>
      </w:r>
      <w:proofErr w:type="spellEnd"/>
      <w:r>
        <w:t xml:space="preserve"> mevkii, </w:t>
      </w:r>
      <w:proofErr w:type="spellStart"/>
      <w:r>
        <w:t>Tepekent</w:t>
      </w:r>
      <w:proofErr w:type="spellEnd"/>
      <w:r>
        <w:t xml:space="preserve"> Villa Kent komp</w:t>
      </w:r>
      <w:r>
        <w:softHyphen/>
        <w:t xml:space="preserve">leksi içerisinde; Cumhuriyet </w:t>
      </w:r>
      <w:proofErr w:type="spellStart"/>
      <w:r>
        <w:t>Cd</w:t>
      </w:r>
      <w:proofErr w:type="spellEnd"/>
      <w:r>
        <w:t xml:space="preserve">. irtibatlı Kolej </w:t>
      </w:r>
      <w:proofErr w:type="spellStart"/>
      <w:r>
        <w:t>Cd</w:t>
      </w:r>
      <w:proofErr w:type="spellEnd"/>
      <w:r>
        <w:t xml:space="preserve">. Bağlantılı Erguvan </w:t>
      </w:r>
      <w:proofErr w:type="spellStart"/>
      <w:r>
        <w:t>Sk</w:t>
      </w:r>
      <w:proofErr w:type="spellEnd"/>
      <w:r>
        <w:t xml:space="preserve">. Üzerinde yer alan 20 kapı numaralı 58 bağımsız bölüm numaralı </w:t>
      </w:r>
      <w:proofErr w:type="gramStart"/>
      <w:r>
        <w:t>dub</w:t>
      </w:r>
      <w:r>
        <w:softHyphen/>
        <w:t>leks</w:t>
      </w:r>
      <w:proofErr w:type="gramEnd"/>
      <w:r>
        <w:t xml:space="preserve"> villadır.</w:t>
      </w:r>
    </w:p>
    <w:p w:rsidR="00F15EC4" w:rsidRDefault="00ED2752">
      <w:pPr>
        <w:pStyle w:val="Gvdemetni0"/>
        <w:shd w:val="clear" w:color="auto" w:fill="auto"/>
        <w:ind w:left="20" w:right="20" w:firstLine="140"/>
      </w:pPr>
      <w:r>
        <w:t xml:space="preserve">Taşınmaz D8 tipi </w:t>
      </w:r>
      <w:proofErr w:type="gramStart"/>
      <w:r>
        <w:t>dubleks</w:t>
      </w:r>
      <w:proofErr w:type="gramEnd"/>
      <w:r>
        <w:t xml:space="preserve"> mesken olup plan itibariyle giriş holü sağda tuvalet banyo, çalışma odası, solda mutfak, yemek odası, salon, ön ve arka cephede bahçe terasından ibaret olduğu, üst kat: hol. </w:t>
      </w:r>
      <w:proofErr w:type="gramStart"/>
      <w:r>
        <w:t>dört</w:t>
      </w:r>
      <w:proofErr w:type="gramEnd"/>
      <w:r>
        <w:t xml:space="preserve"> yatak odası ebeveyn banyosu, banyo tuvalet ve dört balkondan ibaret olduğu beyan edilmiştir. </w:t>
      </w:r>
      <w:proofErr w:type="spellStart"/>
      <w:r>
        <w:t>Katologda</w:t>
      </w:r>
      <w:proofErr w:type="spellEnd"/>
      <w:r>
        <w:t xml:space="preserve"> bodrum kat görün</w:t>
      </w:r>
      <w:r>
        <w:softHyphen/>
        <w:t>memektedir. Buna göre: bodrum katın proje ha</w:t>
      </w:r>
      <w:r>
        <w:softHyphen/>
        <w:t>rici inşa edildiği sonucuna ulaşılmaktadır. Bu nedenle yerinde fiili yapılaşma dikkate alınmış</w:t>
      </w:r>
      <w:r>
        <w:softHyphen/>
        <w:t xml:space="preserve">tır, Bahçede yüzme havuzu mevcut olup, villa çevresi ihata duvarı üzerinde ferforje demir ile çevrilidir. Sürgülü demir kapının yanında ayrı bir giriş kapısı daha mevcuttur. Villa takriben brüt </w:t>
      </w:r>
      <w:proofErr w:type="gramStart"/>
      <w:r>
        <w:t>550.00</w:t>
      </w:r>
      <w:proofErr w:type="gramEnd"/>
      <w:r>
        <w:t xml:space="preserve"> M2 kullanım alanına sahiptir. Yerleşime yeni açılan bir bölgede, ülkenin önemli villa kent proje kapsamında yer almaktadır. Yakın çevre</w:t>
      </w:r>
      <w:r>
        <w:softHyphen/>
        <w:t>sinde halen devam etmekte olan çok sayıda vil</w:t>
      </w:r>
      <w:r>
        <w:softHyphen/>
        <w:t>la inşaatı mevcuttur. Ulaşımı özel araçlarla im</w:t>
      </w:r>
      <w:r>
        <w:softHyphen/>
        <w:t xml:space="preserve">kan </w:t>
      </w:r>
      <w:proofErr w:type="gramStart"/>
      <w:r>
        <w:t>dahilinde</w:t>
      </w:r>
      <w:proofErr w:type="gramEnd"/>
      <w:r>
        <w:t xml:space="preserve"> olup, belli süreler dahilinde mini</w:t>
      </w:r>
      <w:r>
        <w:softHyphen/>
        <w:t xml:space="preserve">büs ve İETT otobüsleri ile imkan dahilindedir. Yerleşke içerisinde bulunan ve özel eğitim </w:t>
      </w:r>
      <w:proofErr w:type="spellStart"/>
      <w:r>
        <w:t>ku</w:t>
      </w:r>
      <w:proofErr w:type="spellEnd"/>
      <w:r>
        <w:t xml:space="preserve">- </w:t>
      </w:r>
      <w:proofErr w:type="spellStart"/>
      <w:r>
        <w:t>rumlarından</w:t>
      </w:r>
      <w:proofErr w:type="spellEnd"/>
      <w:r>
        <w:t xml:space="preserve"> olan </w:t>
      </w:r>
      <w:proofErr w:type="spellStart"/>
      <w:r>
        <w:t>Arel</w:t>
      </w:r>
      <w:proofErr w:type="spellEnd"/>
      <w:r>
        <w:t xml:space="preserve"> Üniversitesine yürüme mesafesindedir. </w:t>
      </w:r>
      <w:proofErr w:type="spellStart"/>
      <w:r>
        <w:t>Tepekent</w:t>
      </w:r>
      <w:proofErr w:type="spellEnd"/>
      <w:r>
        <w:t xml:space="preserve"> proje kompleksi içer</w:t>
      </w:r>
      <w:r>
        <w:softHyphen/>
        <w:t xml:space="preserve">sinde sosyal tesis, </w:t>
      </w:r>
      <w:r>
        <w:lastRenderedPageBreak/>
        <w:t xml:space="preserve">spor sahaları, </w:t>
      </w:r>
      <w:proofErr w:type="gramStart"/>
      <w:r>
        <w:t>rekreasyon</w:t>
      </w:r>
      <w:proofErr w:type="gramEnd"/>
      <w:r>
        <w:t xml:space="preserve"> alanları mevcuttur. E5 ve TEM karayolu ile ula</w:t>
      </w:r>
      <w:r>
        <w:softHyphen/>
        <w:t xml:space="preserve">şım </w:t>
      </w:r>
      <w:proofErr w:type="gramStart"/>
      <w:r>
        <w:t>imkanına</w:t>
      </w:r>
      <w:proofErr w:type="gramEnd"/>
      <w:r>
        <w:t xml:space="preserve"> sahiptir. Belediye hizmetlerinden yararlanmaktadır. Bölge; geniş bahçe ve yeşil alanları, temiz havası, dikkat çeken villa tarzı ya</w:t>
      </w:r>
      <w:r>
        <w:softHyphen/>
        <w:t>pılaşmasıyla rağbet gören bir yerleşim alanıdır.</w:t>
      </w:r>
    </w:p>
    <w:p w:rsidR="00F15EC4" w:rsidRDefault="00ED2752">
      <w:pPr>
        <w:pStyle w:val="Gvdemetni20"/>
        <w:shd w:val="clear" w:color="auto" w:fill="auto"/>
        <w:ind w:left="20" w:firstLine="140"/>
        <w:jc w:val="both"/>
      </w:pPr>
      <w:r>
        <w:t>MUHAMMEN BEDEL: 1.000,000,00 TL</w:t>
      </w:r>
    </w:p>
    <w:p w:rsidR="00F15EC4" w:rsidRDefault="00ED2752">
      <w:pPr>
        <w:pStyle w:val="Gvdemetni20"/>
        <w:shd w:val="clear" w:color="auto" w:fill="auto"/>
        <w:ind w:left="20" w:firstLine="140"/>
        <w:jc w:val="both"/>
      </w:pPr>
      <w:r>
        <w:t>SATIŞ ŞARTLARI:</w:t>
      </w:r>
    </w:p>
    <w:p w:rsidR="00F15EC4" w:rsidRDefault="00ED2752">
      <w:pPr>
        <w:pStyle w:val="Gvdemetni0"/>
        <w:shd w:val="clear" w:color="auto" w:fill="auto"/>
        <w:ind w:left="20" w:right="20" w:firstLine="140"/>
      </w:pPr>
      <w:r>
        <w:t xml:space="preserve">Birinci açık arttırma: </w:t>
      </w:r>
      <w:proofErr w:type="gramStart"/>
      <w:r>
        <w:t>20/07/2012</w:t>
      </w:r>
      <w:proofErr w:type="gramEnd"/>
      <w:r>
        <w:t xml:space="preserve"> Cuma gü</w:t>
      </w:r>
      <w:r>
        <w:softHyphen/>
        <w:t>nü, saat: 15.00-15.10 saatleri arasında, Büyük</w:t>
      </w:r>
      <w:r>
        <w:softHyphen/>
        <w:t xml:space="preserve">çekmece 2. icra Müdürlüğü’nde yapılacaktır. Bu artırmada tahmin edilen kıymetin % 60’ını </w:t>
      </w:r>
      <w:proofErr w:type="spellStart"/>
      <w:r>
        <w:t>rüç</w:t>
      </w:r>
      <w:proofErr w:type="spellEnd"/>
      <w:r>
        <w:t xml:space="preserve">- hanlı alacaklılar varsa alacakları mecmuunu ve satış masraflarını geçmesi şartı ile </w:t>
      </w:r>
      <w:proofErr w:type="spellStart"/>
      <w:r>
        <w:t>ençok</w:t>
      </w:r>
      <w:proofErr w:type="spellEnd"/>
      <w:r>
        <w:t xml:space="preserve"> arttıra</w:t>
      </w:r>
      <w:r>
        <w:softHyphen/>
        <w:t xml:space="preserve">na ihale olunur. Böyle bir bedelle alıcı çıkmazsa </w:t>
      </w:r>
      <w:proofErr w:type="spellStart"/>
      <w:r>
        <w:t>ençok</w:t>
      </w:r>
      <w:proofErr w:type="spellEnd"/>
      <w:r>
        <w:t xml:space="preserve"> arttıranın taahhüdü baki kalmak kaydı </w:t>
      </w:r>
      <w:proofErr w:type="gramStart"/>
      <w:r>
        <w:t>ile;</w:t>
      </w:r>
      <w:proofErr w:type="gramEnd"/>
    </w:p>
    <w:p w:rsidR="00F15EC4" w:rsidRDefault="00ED2752">
      <w:pPr>
        <w:pStyle w:val="Gvdemetni0"/>
        <w:shd w:val="clear" w:color="auto" w:fill="auto"/>
        <w:ind w:left="20" w:right="20" w:firstLine="140"/>
      </w:pPr>
      <w:proofErr w:type="gramStart"/>
      <w:r>
        <w:t>ikinci</w:t>
      </w:r>
      <w:proofErr w:type="gramEnd"/>
      <w:r>
        <w:t xml:space="preserve"> açık artırma: 30/0772012 pazartesi gü</w:t>
      </w:r>
      <w:r>
        <w:softHyphen/>
        <w:t>nü, saat: 15.00-15.10 saatleri arasında, aynı yerde 2. açık artırmaya çıkarılacaktır. Bu artır</w:t>
      </w:r>
      <w:r>
        <w:softHyphen/>
        <w:t>mada tahmin edilen kıymetin % 40’ını, rüçhanlı alacaklıların alacağı mecmuunu ve satış mas</w:t>
      </w:r>
      <w:r>
        <w:softHyphen/>
        <w:t xml:space="preserve">raflarını geçmesi şartı ile </w:t>
      </w:r>
      <w:proofErr w:type="spellStart"/>
      <w:r>
        <w:t>ençok</w:t>
      </w:r>
      <w:proofErr w:type="spellEnd"/>
      <w:r>
        <w:t xml:space="preserve"> arttırana ihale olunur. Satış peşin para iledir. Arttırmaya iştirak edeceklerin tahmin edilen kıymetin % 20'si </w:t>
      </w:r>
      <w:proofErr w:type="spellStart"/>
      <w:r>
        <w:t>nis</w:t>
      </w:r>
      <w:proofErr w:type="spellEnd"/>
      <w:r>
        <w:t>- betinde pey akçesi veya bu miktar kadar Milli bir bankanın teminat mektubunu veya bu miktar karşılığında döviz veya milli bir bankanın teyidi yapılmış bloke çekini vermeleri lazımdır. Alıcı is</w:t>
      </w:r>
      <w:r>
        <w:softHyphen/>
        <w:t>tediğinde (10) günü geçmemek üzere mehil ve</w:t>
      </w:r>
      <w:r>
        <w:softHyphen/>
        <w:t xml:space="preserve">rilebilir. </w:t>
      </w:r>
      <w:proofErr w:type="gramStart"/>
      <w:r>
        <w:t>Tellaliye</w:t>
      </w:r>
      <w:proofErr w:type="gramEnd"/>
      <w:r>
        <w:t xml:space="preserve"> resmi ihale bedelinden ödenir, ihale damga pulu bedeli, </w:t>
      </w:r>
      <w:proofErr w:type="gramStart"/>
      <w:r>
        <w:t>mevzuatın</w:t>
      </w:r>
      <w:proofErr w:type="gramEnd"/>
      <w:r>
        <w:t xml:space="preserve"> belirlediği oranda Katma Değer Vergisi, tapu alım harcı ve masrafları alıcıya ait olup, birikmiş vergiler, tapu satım harcı satış bedelinden ödenir, ipotek sahi</w:t>
      </w:r>
      <w:r>
        <w:softHyphen/>
        <w:t>bi alacaklılar ile diğer ilgililerin (ilgililer tabirine irtifak hakkı sahipleri de dahildir) bu taşınmaz üzerindeki haklarını hususiyle faiz ve masrafa dair olan iddialarını dayanağı belgeler ile 15 gün içinde Müdürlüğümüze bildirmeleri lazımdır. Ak</w:t>
      </w:r>
      <w:r>
        <w:softHyphen/>
        <w:t>si takdirde hakları Tapu sicili ile sabit olmadıkça paylaşmadan hariç bırakılacaklardır. Satış bede</w:t>
      </w:r>
      <w:r>
        <w:softHyphen/>
        <w:t xml:space="preserve">li hemen veya verilen süre içinde ödenmezse </w:t>
      </w:r>
      <w:proofErr w:type="spellStart"/>
      <w:proofErr w:type="gramStart"/>
      <w:r>
        <w:t>jİK</w:t>
      </w:r>
      <w:proofErr w:type="spellEnd"/>
      <w:r>
        <w:t>.</w:t>
      </w:r>
      <w:proofErr w:type="spellStart"/>
      <w:r>
        <w:t>nun</w:t>
      </w:r>
      <w:proofErr w:type="spellEnd"/>
      <w:proofErr w:type="gramEnd"/>
      <w:r>
        <w:t xml:space="preserve"> 133.maddesi gereğince ihale </w:t>
      </w:r>
      <w:proofErr w:type="spellStart"/>
      <w:r>
        <w:t>fesh</w:t>
      </w:r>
      <w:proofErr w:type="spellEnd"/>
      <w:r>
        <w:t xml:space="preserve"> edilir, iki ihale arasındaki farktan ve yasal faizden alıcı ve kefilleri mesul tutulacak ve hiçbir hükme ha</w:t>
      </w:r>
      <w:r>
        <w:softHyphen/>
        <w:t>cet kalmadan kendilerinden tahsil edilecektir. Şartname ilan tarihinden itibaren dairede açık olup, isteyen alıcıya masraf verildiğinde bir ör</w:t>
      </w:r>
      <w:r>
        <w:softHyphen/>
        <w:t>neği gönderilebilir. Satışa iştirak edenlerin şart</w:t>
      </w:r>
      <w:r>
        <w:softHyphen/>
        <w:t xml:space="preserve">nameyi görmüş ve münderecatını kabul etmiş sayılacakları, başkaca bilgi almak isteyenlerin Müdürlüğümüzün 2012/1151 TAL. </w:t>
      </w:r>
      <w:proofErr w:type="gramStart"/>
      <w:r>
        <w:t>sayılı</w:t>
      </w:r>
      <w:proofErr w:type="gramEnd"/>
      <w:r>
        <w:t xml:space="preserve"> dosya numarası ile müracaat etmeleri ilan olunur.</w:t>
      </w:r>
    </w:p>
    <w:p w:rsidR="00F15EC4" w:rsidRDefault="00770C40">
      <w:pPr>
        <w:pStyle w:val="Gvdemetni20"/>
        <w:shd w:val="clear" w:color="auto" w:fill="auto"/>
        <w:ind w:right="20"/>
        <w:sectPr w:rsidR="00F15EC4">
          <w:type w:val="continuous"/>
          <w:pgSz w:w="11909" w:h="16838"/>
          <w:pgMar w:top="2055" w:right="2690" w:bottom="3015" w:left="3026" w:header="0" w:footer="3" w:gutter="0"/>
          <w:cols w:num="2" w:space="250"/>
          <w:noEndnote/>
          <w:docGrid w:linePitch="360"/>
        </w:sectPr>
      </w:pPr>
      <w:hyperlink r:id="rId6" w:history="1">
        <w:r w:rsidR="00ED2752">
          <w:rPr>
            <w:rStyle w:val="Kpr"/>
            <w:lang w:val="en-US"/>
          </w:rPr>
          <w:t>www.bik.qov.tr</w:t>
        </w:r>
      </w:hyperlink>
      <w:r w:rsidR="00ED2752">
        <w:rPr>
          <w:lang w:val="en-US"/>
        </w:rPr>
        <w:t xml:space="preserve"> </w:t>
      </w:r>
      <w:r w:rsidR="00ED2752">
        <w:t>B: 32026</w:t>
      </w:r>
    </w:p>
    <w:p w:rsidR="00F15EC4" w:rsidRDefault="00F15EC4">
      <w:pPr>
        <w:spacing w:line="134" w:lineRule="exact"/>
        <w:rPr>
          <w:sz w:val="11"/>
          <w:szCs w:val="11"/>
        </w:rPr>
      </w:pPr>
    </w:p>
    <w:p w:rsidR="00F15EC4" w:rsidRDefault="00F15EC4">
      <w:pPr>
        <w:rPr>
          <w:sz w:val="2"/>
          <w:szCs w:val="2"/>
        </w:rPr>
        <w:sectPr w:rsidR="00F15EC4">
          <w:type w:val="continuous"/>
          <w:pgSz w:w="11909" w:h="16838"/>
          <w:pgMar w:top="0" w:right="0" w:bottom="0" w:left="0" w:header="0" w:footer="3" w:gutter="0"/>
          <w:cols w:space="720"/>
          <w:noEndnote/>
          <w:docGrid w:linePitch="360"/>
        </w:sectPr>
      </w:pPr>
    </w:p>
    <w:p w:rsidR="00F15EC4" w:rsidRDefault="00F15EC4" w:rsidP="00521824">
      <w:pPr>
        <w:pStyle w:val="Gvdemetni40"/>
        <w:shd w:val="clear" w:color="auto" w:fill="000000"/>
        <w:spacing w:line="190" w:lineRule="exact"/>
      </w:pPr>
    </w:p>
    <w:sectPr w:rsidR="00F15EC4" w:rsidSect="00F15EC4">
      <w:type w:val="continuous"/>
      <w:pgSz w:w="11909" w:h="16838"/>
      <w:pgMar w:top="2070" w:right="4164" w:bottom="3030" w:left="480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211" w:rsidRDefault="00D14211" w:rsidP="00F15EC4">
      <w:r>
        <w:separator/>
      </w:r>
    </w:p>
  </w:endnote>
  <w:endnote w:type="continuationSeparator" w:id="0">
    <w:p w:rsidR="00D14211" w:rsidRDefault="00D14211" w:rsidP="00F15EC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211" w:rsidRDefault="00D14211"/>
  </w:footnote>
  <w:footnote w:type="continuationSeparator" w:id="0">
    <w:p w:rsidR="00D14211" w:rsidRDefault="00D14211"/>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15EC4"/>
    <w:rsid w:val="00521824"/>
    <w:rsid w:val="00770C40"/>
    <w:rsid w:val="00D14211"/>
    <w:rsid w:val="00E15D5D"/>
    <w:rsid w:val="00ED2752"/>
    <w:rsid w:val="00F15E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5EC4"/>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15EC4"/>
    <w:rPr>
      <w:color w:val="000080"/>
      <w:u w:val="single"/>
    </w:rPr>
  </w:style>
  <w:style w:type="character" w:customStyle="1" w:styleId="Balk1">
    <w:name w:val="Başlık #1_"/>
    <w:basedOn w:val="VarsaylanParagrafYazTipi"/>
    <w:link w:val="Balk10"/>
    <w:rsid w:val="00F15EC4"/>
    <w:rPr>
      <w:rFonts w:ascii="Arial Narrow" w:eastAsia="Arial Narrow" w:hAnsi="Arial Narrow" w:cs="Arial Narrow"/>
      <w:b/>
      <w:bCs/>
      <w:i w:val="0"/>
      <w:iCs w:val="0"/>
      <w:smallCaps w:val="0"/>
      <w:strike w:val="0"/>
      <w:sz w:val="23"/>
      <w:szCs w:val="23"/>
      <w:u w:val="none"/>
    </w:rPr>
  </w:style>
  <w:style w:type="character" w:customStyle="1" w:styleId="Balk11">
    <w:name w:val="Başlık #1"/>
    <w:basedOn w:val="Balk1"/>
    <w:rsid w:val="00F15EC4"/>
    <w:rPr>
      <w:color w:val="FFFFFF"/>
      <w:spacing w:val="0"/>
      <w:w w:val="100"/>
      <w:position w:val="0"/>
      <w:lang w:val="tr-TR"/>
    </w:rPr>
  </w:style>
  <w:style w:type="character" w:customStyle="1" w:styleId="Gvdemetni3Exact">
    <w:name w:val="Gövde metni (3) Exact"/>
    <w:basedOn w:val="VarsaylanParagrafYazTipi"/>
    <w:link w:val="Gvdemetni3"/>
    <w:rsid w:val="00F15EC4"/>
    <w:rPr>
      <w:rFonts w:ascii="Arial Narrow" w:eastAsia="Arial Narrow" w:hAnsi="Arial Narrow" w:cs="Arial Narrow"/>
      <w:b w:val="0"/>
      <w:bCs w:val="0"/>
      <w:i w:val="0"/>
      <w:iCs w:val="0"/>
      <w:smallCaps w:val="0"/>
      <w:strike w:val="0"/>
      <w:sz w:val="8"/>
      <w:szCs w:val="8"/>
      <w:u w:val="none"/>
    </w:rPr>
  </w:style>
  <w:style w:type="character" w:customStyle="1" w:styleId="Gvdemetni2">
    <w:name w:val="Gövde metni (2)_"/>
    <w:basedOn w:val="VarsaylanParagrafYazTipi"/>
    <w:link w:val="Gvdemetni20"/>
    <w:rsid w:val="00F15EC4"/>
    <w:rPr>
      <w:rFonts w:ascii="Arial Narrow" w:eastAsia="Arial Narrow" w:hAnsi="Arial Narrow" w:cs="Arial Narrow"/>
      <w:b/>
      <w:bCs/>
      <w:i w:val="0"/>
      <w:iCs w:val="0"/>
      <w:smallCaps w:val="0"/>
      <w:strike w:val="0"/>
      <w:sz w:val="16"/>
      <w:szCs w:val="16"/>
      <w:u w:val="none"/>
    </w:rPr>
  </w:style>
  <w:style w:type="character" w:customStyle="1" w:styleId="Gvdemetni">
    <w:name w:val="Gövde metni_"/>
    <w:basedOn w:val="VarsaylanParagrafYazTipi"/>
    <w:link w:val="Gvdemetni0"/>
    <w:rsid w:val="00F15EC4"/>
    <w:rPr>
      <w:rFonts w:ascii="Arial Narrow" w:eastAsia="Arial Narrow" w:hAnsi="Arial Narrow" w:cs="Arial Narrow"/>
      <w:b w:val="0"/>
      <w:bCs w:val="0"/>
      <w:i w:val="0"/>
      <w:iCs w:val="0"/>
      <w:smallCaps w:val="0"/>
      <w:strike w:val="0"/>
      <w:sz w:val="16"/>
      <w:szCs w:val="16"/>
      <w:u w:val="none"/>
    </w:rPr>
  </w:style>
  <w:style w:type="character" w:customStyle="1" w:styleId="GvdemetniKaln">
    <w:name w:val="Gövde metni + Kalın"/>
    <w:basedOn w:val="Gvdemetni"/>
    <w:rsid w:val="00F15EC4"/>
    <w:rPr>
      <w:b/>
      <w:bCs/>
      <w:color w:val="000000"/>
      <w:spacing w:val="0"/>
      <w:w w:val="100"/>
      <w:position w:val="0"/>
      <w:lang w:val="tr-TR"/>
    </w:rPr>
  </w:style>
  <w:style w:type="character" w:customStyle="1" w:styleId="Gvdemetni4">
    <w:name w:val="Gövde metni (4)_"/>
    <w:basedOn w:val="VarsaylanParagrafYazTipi"/>
    <w:link w:val="Gvdemetni40"/>
    <w:rsid w:val="00F15EC4"/>
    <w:rPr>
      <w:rFonts w:ascii="Arial Narrow" w:eastAsia="Arial Narrow" w:hAnsi="Arial Narrow" w:cs="Arial Narrow"/>
      <w:b/>
      <w:bCs/>
      <w:i w:val="0"/>
      <w:iCs w:val="0"/>
      <w:smallCaps w:val="0"/>
      <w:strike w:val="0"/>
      <w:sz w:val="19"/>
      <w:szCs w:val="19"/>
      <w:u w:val="none"/>
    </w:rPr>
  </w:style>
  <w:style w:type="character" w:customStyle="1" w:styleId="Gvdemetni41">
    <w:name w:val="Gövde metni (4)"/>
    <w:basedOn w:val="Gvdemetni4"/>
    <w:rsid w:val="00F15EC4"/>
    <w:rPr>
      <w:color w:val="FFFFFF"/>
      <w:spacing w:val="0"/>
      <w:w w:val="100"/>
      <w:position w:val="0"/>
      <w:lang w:val="tr-TR"/>
    </w:rPr>
  </w:style>
  <w:style w:type="paragraph" w:customStyle="1" w:styleId="Balk10">
    <w:name w:val="Başlık #1"/>
    <w:basedOn w:val="Normal"/>
    <w:link w:val="Balk1"/>
    <w:rsid w:val="00F15EC4"/>
    <w:pPr>
      <w:shd w:val="clear" w:color="auto" w:fill="FFFFFF"/>
      <w:spacing w:line="264" w:lineRule="exact"/>
      <w:jc w:val="center"/>
      <w:outlineLvl w:val="0"/>
    </w:pPr>
    <w:rPr>
      <w:rFonts w:ascii="Arial Narrow" w:eastAsia="Arial Narrow" w:hAnsi="Arial Narrow" w:cs="Arial Narrow"/>
      <w:b/>
      <w:bCs/>
      <w:sz w:val="23"/>
      <w:szCs w:val="23"/>
    </w:rPr>
  </w:style>
  <w:style w:type="paragraph" w:customStyle="1" w:styleId="Gvdemetni3">
    <w:name w:val="Gövde metni (3)"/>
    <w:basedOn w:val="Normal"/>
    <w:link w:val="Gvdemetni3Exact"/>
    <w:rsid w:val="00F15EC4"/>
    <w:pPr>
      <w:shd w:val="clear" w:color="auto" w:fill="FFFFFF"/>
      <w:spacing w:line="0" w:lineRule="atLeast"/>
    </w:pPr>
    <w:rPr>
      <w:rFonts w:ascii="Arial Narrow" w:eastAsia="Arial Narrow" w:hAnsi="Arial Narrow" w:cs="Arial Narrow"/>
      <w:sz w:val="8"/>
      <w:szCs w:val="8"/>
    </w:rPr>
  </w:style>
  <w:style w:type="paragraph" w:customStyle="1" w:styleId="Gvdemetni20">
    <w:name w:val="Gövde metni (2)"/>
    <w:basedOn w:val="Normal"/>
    <w:link w:val="Gvdemetni2"/>
    <w:rsid w:val="00F15EC4"/>
    <w:pPr>
      <w:shd w:val="clear" w:color="auto" w:fill="FFFFFF"/>
      <w:spacing w:line="182" w:lineRule="exact"/>
      <w:jc w:val="right"/>
    </w:pPr>
    <w:rPr>
      <w:rFonts w:ascii="Arial Narrow" w:eastAsia="Arial Narrow" w:hAnsi="Arial Narrow" w:cs="Arial Narrow"/>
      <w:b/>
      <w:bCs/>
      <w:sz w:val="16"/>
      <w:szCs w:val="16"/>
    </w:rPr>
  </w:style>
  <w:style w:type="paragraph" w:customStyle="1" w:styleId="Gvdemetni0">
    <w:name w:val="Gövde metni"/>
    <w:basedOn w:val="Normal"/>
    <w:link w:val="Gvdemetni"/>
    <w:rsid w:val="00F15EC4"/>
    <w:pPr>
      <w:shd w:val="clear" w:color="auto" w:fill="FFFFFF"/>
      <w:spacing w:line="182" w:lineRule="exact"/>
      <w:jc w:val="both"/>
    </w:pPr>
    <w:rPr>
      <w:rFonts w:ascii="Arial Narrow" w:eastAsia="Arial Narrow" w:hAnsi="Arial Narrow" w:cs="Arial Narrow"/>
      <w:sz w:val="16"/>
      <w:szCs w:val="16"/>
    </w:rPr>
  </w:style>
  <w:style w:type="paragraph" w:customStyle="1" w:styleId="Gvdemetni40">
    <w:name w:val="Gövde metni (4)"/>
    <w:basedOn w:val="Normal"/>
    <w:link w:val="Gvdemetni4"/>
    <w:rsid w:val="00F15EC4"/>
    <w:pPr>
      <w:shd w:val="clear" w:color="auto" w:fill="FFFFFF"/>
      <w:spacing w:line="0" w:lineRule="atLeast"/>
    </w:pPr>
    <w:rPr>
      <w:rFonts w:ascii="Arial Narrow" w:eastAsia="Arial Narrow" w:hAnsi="Arial Narrow" w:cs="Arial Narrow"/>
      <w:b/>
      <w:bCs/>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k.qov.t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759</Words>
  <Characters>4330</Characters>
  <Application>Microsoft Office Word</Application>
  <DocSecurity>0</DocSecurity>
  <Lines>36</Lines>
  <Paragraphs>10</Paragraphs>
  <ScaleCrop>false</ScaleCrop>
  <Company/>
  <LinksUpToDate>false</LinksUpToDate>
  <CharactersWithSpaces>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2012-05-25T10:02:00Z</dcterms:created>
  <dcterms:modified xsi:type="dcterms:W3CDTF">2012-05-25T10:02:00Z</dcterms:modified>
</cp:coreProperties>
</file>