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AB" w:rsidRDefault="003E39F1">
      <w:pPr>
        <w:pStyle w:val="Balk10"/>
        <w:keepNext/>
        <w:keepLines/>
        <w:shd w:val="clear" w:color="auto" w:fill="000000"/>
        <w:ind w:right="40"/>
      </w:pPr>
      <w:bookmarkStart w:id="0" w:name="bookmark0"/>
      <w:r>
        <w:rPr>
          <w:rStyle w:val="Balk11"/>
        </w:rPr>
        <w:t>TEKKEKÖY İCRA MÜDÜRLÜĞÜ’</w:t>
      </w:r>
      <w:r w:rsidR="007B5659">
        <w:rPr>
          <w:rStyle w:val="Balk11"/>
        </w:rPr>
        <w:t>NDEN TAŞINMAZIN ACIK ARTIRMA İLANI</w:t>
      </w:r>
      <w:bookmarkEnd w:id="0"/>
    </w:p>
    <w:p w:rsidR="001B17AB" w:rsidRDefault="007B5659">
      <w:pPr>
        <w:pStyle w:val="Gvdemetni20"/>
        <w:shd w:val="clear" w:color="auto" w:fill="000000"/>
        <w:tabs>
          <w:tab w:val="left" w:pos="2875"/>
        </w:tabs>
        <w:spacing w:after="80" w:line="80" w:lineRule="exact"/>
        <w:ind w:left="1320"/>
      </w:pPr>
      <w:r>
        <w:rPr>
          <w:rStyle w:val="Gvdemetni21"/>
        </w:rPr>
        <w:t>S</w:t>
      </w:r>
      <w:r>
        <w:rPr>
          <w:rStyle w:val="Gvdemetni21"/>
        </w:rPr>
        <w:tab/>
      </w:r>
    </w:p>
    <w:p w:rsidR="001B17AB" w:rsidRDefault="007B5659">
      <w:pPr>
        <w:pStyle w:val="Gvdemetni30"/>
        <w:shd w:val="clear" w:color="auto" w:fill="auto"/>
        <w:spacing w:before="0"/>
        <w:ind w:left="20" w:firstLine="180"/>
      </w:pPr>
      <w:r>
        <w:t xml:space="preserve">Dosya </w:t>
      </w:r>
      <w:proofErr w:type="gramStart"/>
      <w:r>
        <w:t>No : 2012</w:t>
      </w:r>
      <w:proofErr w:type="gramEnd"/>
      <w:r>
        <w:t>/147 Talimat</w:t>
      </w:r>
    </w:p>
    <w:p w:rsidR="001B17AB" w:rsidRDefault="007B5659">
      <w:pPr>
        <w:pStyle w:val="Gvdemetni0"/>
        <w:shd w:val="clear" w:color="auto" w:fill="auto"/>
        <w:ind w:left="20" w:firstLine="180"/>
      </w:pPr>
      <w:r>
        <w:t>Satılmasına karar verilen taşınmazın cinsi, niteliği, kıymeti, adedi, önemli özellikleri:</w:t>
      </w:r>
    </w:p>
    <w:p w:rsidR="001B17AB" w:rsidRDefault="007B5659">
      <w:pPr>
        <w:pStyle w:val="Gvdemetni0"/>
        <w:shd w:val="clear" w:color="auto" w:fill="auto"/>
        <w:ind w:left="20" w:right="40" w:firstLine="180"/>
      </w:pPr>
      <w:r>
        <w:rPr>
          <w:rStyle w:val="GvdemetniKaln"/>
        </w:rPr>
        <w:t>Tapu Kaydı</w:t>
      </w:r>
      <w:r>
        <w:t>: Borçlu Samsun Çay Gıda Paz. Tic. Ltd. Şti. adına kayıtlı Samsun ili Tekkeköy ilçesi, Ada No: 406, Parsel No: 4'de kayıtlı taşınmazın arsa olarak yüzölçümü 2343,23 m2 ‘</w:t>
      </w:r>
      <w:proofErr w:type="spellStart"/>
      <w:r>
        <w:t>dir</w:t>
      </w:r>
      <w:proofErr w:type="spellEnd"/>
      <w:r>
        <w:t>.</w:t>
      </w:r>
    </w:p>
    <w:p w:rsidR="001B17AB" w:rsidRDefault="007B5659">
      <w:pPr>
        <w:pStyle w:val="Gvdemetni0"/>
        <w:shd w:val="clear" w:color="auto" w:fill="auto"/>
        <w:ind w:left="20" w:right="40" w:firstLine="180"/>
      </w:pPr>
      <w:r>
        <w:rPr>
          <w:rStyle w:val="GvdemetniKaln"/>
        </w:rPr>
        <w:t xml:space="preserve">İmar Durumu: </w:t>
      </w:r>
      <w:r>
        <w:t>Tekkeköy Belediye Başkanlığı imar ve Şehircilik Müdürlüğü’nün 22.02.2012 gün ve 73-629 sayılı yazısında taşınmazın 1/1000 ölçekli imar planında toptan ticaret alanına (H= 10.00) isabet etmekte olduğu belirtilmiştir.</w:t>
      </w:r>
    </w:p>
    <w:p w:rsidR="001B17AB" w:rsidRDefault="007B5659">
      <w:pPr>
        <w:pStyle w:val="Gvdemetni0"/>
        <w:shd w:val="clear" w:color="auto" w:fill="auto"/>
        <w:ind w:left="20" w:right="40" w:firstLine="180"/>
      </w:pPr>
      <w:r>
        <w:rPr>
          <w:rStyle w:val="GvdemetniKaln"/>
        </w:rPr>
        <w:t xml:space="preserve">Evsafı: </w:t>
      </w:r>
      <w:r>
        <w:t xml:space="preserve">Satışa konu taşınmaz tapuda Samsun ili Tekkeköy ilçesi, Tekkeköy Köyü/Mevkii, (19 Mayıs Mah) </w:t>
      </w:r>
      <w:proofErr w:type="gramStart"/>
      <w:r>
        <w:t>kain</w:t>
      </w:r>
      <w:proofErr w:type="gramEnd"/>
      <w:r>
        <w:t xml:space="preserve">, 406 ada, 4 </w:t>
      </w:r>
      <w:proofErr w:type="spellStart"/>
      <w:r>
        <w:t>noiu</w:t>
      </w:r>
      <w:proofErr w:type="spellEnd"/>
      <w:r>
        <w:t xml:space="preserve"> parselde kayıtlıdır. Taşınmaz </w:t>
      </w:r>
      <w:proofErr w:type="spellStart"/>
      <w:r>
        <w:t>Sagimad</w:t>
      </w:r>
      <w:proofErr w:type="spellEnd"/>
      <w:r>
        <w:t xml:space="preserve"> sitesinde (Samsun Gıda Maddeleri Toptancılar Sitesi) bulunmaktadır. Taşınmaz üzerinde betonarme </w:t>
      </w:r>
      <w:proofErr w:type="spellStart"/>
      <w:r>
        <w:t>kargas</w:t>
      </w:r>
      <w:proofErr w:type="spellEnd"/>
      <w:r>
        <w:t xml:space="preserve"> inşaat sisteminde yapılmış olunan işyeri binası, çevre duvarı vardır. Taşınmazın yüzölçümü 2343,23 m2'dir. Satışa konu taşınmaz Tekkeköy Belediyesi sınırları içerisinde imar planında bulunmaktadır. Tekkeköy Belediye Başkanlığı imar ve Şehircilik Müdürlüğünden verilen cevabi yazıda taşınmazın 1/1000 ölçekli imar planında toptan ticaret alanına (H=10.00) isabet etmekte olduğu belirtilmiştir. Taşınmaz Samsun’un gıda maddeleri toptancılar sitesi bölgesi içerisinde bulunmaktadır. Etrafı </w:t>
      </w:r>
      <w:proofErr w:type="gramStart"/>
      <w:r>
        <w:t>bir çok</w:t>
      </w:r>
      <w:proofErr w:type="gramEnd"/>
      <w:r>
        <w:t xml:space="preserve"> işyerleri ile çevrilidir. Belediyenin her türlü hizmetlerinden faydalanmaktadır. Elektrik, suyu, yolu ve kanalizasyonu vardır, ilçe merkezine </w:t>
      </w:r>
      <w:proofErr w:type="spellStart"/>
      <w:r>
        <w:t>Gelemen</w:t>
      </w:r>
      <w:proofErr w:type="spellEnd"/>
      <w:r>
        <w:t xml:space="preserve"> Devlet Üretim Çiftliğine ve Samsun- Ordu Karayoluna çok yakındır. Taşınmazın bulunduğu bölge sanayi bölgesidir. Arsa değeri </w:t>
      </w:r>
      <w:r>
        <w:rPr>
          <w:rStyle w:val="GvdemetniKaln"/>
        </w:rPr>
        <w:t xml:space="preserve">2343,23 m2x175,00 TL/m2= 410.065,00 </w:t>
      </w:r>
      <w:proofErr w:type="spellStart"/>
      <w:r>
        <w:rPr>
          <w:rStyle w:val="GvdemetniKaln"/>
        </w:rPr>
        <w:t>TL’dır</w:t>
      </w:r>
      <w:proofErr w:type="spellEnd"/>
      <w:r>
        <w:rPr>
          <w:rStyle w:val="GvdemetniKaln"/>
        </w:rPr>
        <w:t xml:space="preserve">. </w:t>
      </w:r>
      <w:r>
        <w:t xml:space="preserve">Taşınmaz üzerinde yapılı bulunan işyerinin idari bina kısmı iki katlı, ambar bölümü ise tek katlı olarak yapılmıştır. Taşınmaz üzerinde bulunan idari kısım betonarme karkas cinsinde yapılmış olup, 2 katın toplam alanı 164,00 m2+164,00m2=328,00 M2’dir.Zemin kat salon, üç oda, mutfak, banyo ve tuvaletten </w:t>
      </w:r>
      <w:proofErr w:type="gramStart"/>
      <w:r>
        <w:t>müteşekkildir.Birinci</w:t>
      </w:r>
      <w:proofErr w:type="gramEnd"/>
      <w:r>
        <w:t xml:space="preserve"> katta 6 adet oda mevcuttur.Odalar ve koridorların tabanları seramik ile kaplanmıştır. Malzemeler kaliteli olarak seçilmiştir, idare binası yapı olarak 3.sınıf B grubu yapılar bölümüne </w:t>
      </w:r>
      <w:proofErr w:type="gramStart"/>
      <w:r>
        <w:t>girmektedir.iki</w:t>
      </w:r>
      <w:proofErr w:type="gramEnd"/>
      <w:r>
        <w:t xml:space="preserve"> katlı idari binanın değeri </w:t>
      </w:r>
      <w:r>
        <w:rPr>
          <w:rStyle w:val="GvdemetniKaln"/>
        </w:rPr>
        <w:t xml:space="preserve">328,00 M2x621,50 TL/m2xO,90=183.467,00 TL’dir. </w:t>
      </w:r>
      <w:r>
        <w:t xml:space="preserve">Taşınmaz üzerinde bulunan ambar binası betonarme karkas cinsinde yapılmıştır. Alanı 1022,00 m2’dir. Ambarın kat yüksekliği 4,50 metreden yüksektir. Bu nedenle şartnamelere göre değerini 1/2 oranında arttırılarak 1022,00 m2+511,00 m2=1533,00 m2 olarak değerlendirilmiştir. Ambar nitelikli eklentinin içi ve dışı sıvalıdır. Üzerine çatı yapılıp alüminyum panellerle örtülmüştür. Duvarlar plastik boyadır. Ambar </w:t>
      </w:r>
      <w:proofErr w:type="gramStart"/>
      <w:r>
        <w:t>binası</w:t>
      </w:r>
      <w:proofErr w:type="gramEnd"/>
      <w:r>
        <w:t xml:space="preserve"> yapı özelliğine göre 2.sınıf B grubu yapılar bölümüne girmektedir. Ambar binasının değeri </w:t>
      </w:r>
      <w:r>
        <w:rPr>
          <w:rStyle w:val="GvdemetniKaln"/>
        </w:rPr>
        <w:t xml:space="preserve">1533,00 M2x329,70 TL/m2xO,90=454.887,00 TL’dir. </w:t>
      </w:r>
      <w:r>
        <w:t xml:space="preserve">Taşınmaz üzerine yapılmış olan işyerinin etrafında bulunan çevre duvarının değer hesabı: taşınmazın bulunduğu arsanın çevresine 25 cm kalınlıkta, ortalama 2,50 metre yükseklikte ve 204 metre uzunlukta, 204 m x 2,50m = 510 m2 alanında betonarme bahçe duvarı yapılmıştır. Çevre duvarı yapı özelliğine göre </w:t>
      </w:r>
      <w:proofErr w:type="spellStart"/>
      <w:r>
        <w:t>l.sınıf</w:t>
      </w:r>
      <w:proofErr w:type="spellEnd"/>
      <w:r>
        <w:t xml:space="preserve"> A grubu yapı sınıfındadır. Toplam alanı </w:t>
      </w:r>
      <w:r>
        <w:rPr>
          <w:rStyle w:val="GvdemetniKaln"/>
        </w:rPr>
        <w:t xml:space="preserve">510,00 m2x 88,00 TL/m2x0.90= 40.392,00 TL </w:t>
      </w:r>
      <w:proofErr w:type="spellStart"/>
      <w:r>
        <w:rPr>
          <w:rStyle w:val="GvdemetniKaln"/>
        </w:rPr>
        <w:t>dir</w:t>
      </w:r>
      <w:proofErr w:type="spellEnd"/>
      <w:r>
        <w:rPr>
          <w:rStyle w:val="GvdemetniKaln"/>
        </w:rPr>
        <w:t xml:space="preserve">. Buna göre taşınmazın eklentileri ile birlikte toplam değeri 1.088.811,00 </w:t>
      </w:r>
      <w:proofErr w:type="spellStart"/>
      <w:r>
        <w:rPr>
          <w:rStyle w:val="GvdemetniKaln"/>
        </w:rPr>
        <w:t>TL’dır</w:t>
      </w:r>
      <w:proofErr w:type="spellEnd"/>
      <w:r>
        <w:rPr>
          <w:rStyle w:val="GvdemetniKaln"/>
        </w:rPr>
        <w:t>.</w:t>
      </w:r>
    </w:p>
    <w:p w:rsidR="001B17AB" w:rsidRDefault="007B5659">
      <w:pPr>
        <w:pStyle w:val="Gvdemetni30"/>
        <w:shd w:val="clear" w:color="auto" w:fill="auto"/>
        <w:spacing w:before="0"/>
        <w:ind w:left="20" w:firstLine="180"/>
      </w:pPr>
      <w:r>
        <w:t>Satış şartları</w:t>
      </w:r>
    </w:p>
    <w:p w:rsidR="001B17AB" w:rsidRDefault="007B5659">
      <w:pPr>
        <w:pStyle w:val="Gvdemetni0"/>
        <w:numPr>
          <w:ilvl w:val="0"/>
          <w:numId w:val="1"/>
        </w:numPr>
        <w:shd w:val="clear" w:color="auto" w:fill="auto"/>
        <w:tabs>
          <w:tab w:val="left" w:pos="351"/>
        </w:tabs>
        <w:ind w:left="20" w:right="40" w:firstLine="180"/>
      </w:pPr>
      <w:r>
        <w:t xml:space="preserve">Satış 02.07.2012 günü saat </w:t>
      </w:r>
      <w:proofErr w:type="gramStart"/>
      <w:r>
        <w:t>14:00’den</w:t>
      </w:r>
      <w:proofErr w:type="gramEnd"/>
      <w:r>
        <w:t xml:space="preserve"> 14:10 ‘a kadar Tekkeköy icra Müdürlüğü'nde 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w:t>
      </w:r>
      <w:proofErr w:type="spellStart"/>
      <w:r>
        <w:t>şartiyle</w:t>
      </w:r>
      <w:proofErr w:type="spellEnd"/>
      <w:r>
        <w:t xml:space="preserve"> 12.07.2012 günü aynı yer ve saatte ikinci artırmaya çıkarılacaktır. Bu artırmada da muhammen bedelin % 40”ı ile rüçhanlı alacaklıların alacağını ve satış giderlerini geçmesi şartıyla en çok artırana ihale olunur.</w:t>
      </w:r>
    </w:p>
    <w:p w:rsidR="001B17AB" w:rsidRDefault="007B5659">
      <w:pPr>
        <w:pStyle w:val="Gvdemetni0"/>
        <w:numPr>
          <w:ilvl w:val="0"/>
          <w:numId w:val="1"/>
        </w:numPr>
        <w:shd w:val="clear" w:color="auto" w:fill="auto"/>
        <w:tabs>
          <w:tab w:val="left" w:pos="342"/>
        </w:tabs>
        <w:ind w:left="20" w:right="40" w:firstLine="180"/>
      </w:pPr>
      <w:r>
        <w:t xml:space="preserve">Artırmaya iştirak edeceklerin, tahmin edilen değerin % 20'si oranında nakit pey akçesi veya bu miktar kadar kesin ve süresiz banka teminat mektubu vermeleri lâzımdır. Satış peşin para iledir, alıcı istediğinde </w:t>
      </w:r>
      <w:r>
        <w:rPr>
          <w:rStyle w:val="Gvdemetni1ptbolukbraklyor"/>
        </w:rPr>
        <w:t>(10)</w:t>
      </w:r>
      <w:r>
        <w:t xml:space="preserve"> günü geçmemek üzere süre verilebilir. Damga vergisi, tapu alım harcı ve masrafları ile %18 KDV ihale alıcısına aittir. </w:t>
      </w:r>
      <w:proofErr w:type="gramStart"/>
      <w:r>
        <w:t>Tellaliye</w:t>
      </w:r>
      <w:proofErr w:type="gramEnd"/>
      <w:r>
        <w:t xml:space="preserve"> resmi harcı, Tapu satım harcı ve birikmiş vergiler satış bedelinden ödenir. Tahliye ve teslim masrafları alıcıya aittir.</w:t>
      </w:r>
    </w:p>
    <w:p w:rsidR="001B17AB" w:rsidRDefault="007B5659">
      <w:pPr>
        <w:pStyle w:val="Gvdemetni0"/>
        <w:numPr>
          <w:ilvl w:val="0"/>
          <w:numId w:val="1"/>
        </w:numPr>
        <w:shd w:val="clear" w:color="auto" w:fill="auto"/>
        <w:tabs>
          <w:tab w:val="left" w:pos="730"/>
        </w:tabs>
        <w:ind w:left="20" w:right="40" w:firstLine="180"/>
      </w:pPr>
      <w:proofErr w:type="gramStart"/>
      <w:r>
        <w:t>ipotek</w:t>
      </w:r>
      <w:proofErr w:type="gramEnd"/>
      <w:r>
        <w:tab/>
        <w:t xml:space="preserve">sahibi alacaklılarla diğer ilgililerin (*) bu gayrimenkul üzerindeki haklarını özellikle faiz ve giderlere dair olan iddialarını dayanağı belgeler ile </w:t>
      </w:r>
      <w:r>
        <w:rPr>
          <w:rStyle w:val="Gvdemetni1ptbolukbraklyor"/>
        </w:rPr>
        <w:t>(15)</w:t>
      </w:r>
      <w:r>
        <w:t xml:space="preserve"> gün içinde dairemize bildirmeleri lazımdır; aksi takdirde hakları tapu sicil ile sabit olmadıkça paylaşmadan hariç bırakılacaktır.</w:t>
      </w:r>
    </w:p>
    <w:p w:rsidR="001B17AB" w:rsidRDefault="007B5659">
      <w:pPr>
        <w:pStyle w:val="Gvdemetni0"/>
        <w:numPr>
          <w:ilvl w:val="0"/>
          <w:numId w:val="1"/>
        </w:numPr>
        <w:shd w:val="clear" w:color="auto" w:fill="auto"/>
        <w:tabs>
          <w:tab w:val="left" w:pos="351"/>
        </w:tabs>
        <w:ind w:left="20" w:right="40" w:firstLine="180"/>
      </w:pPr>
      <w:r>
        <w:t>Satış bedeli hemen veya verilen mühlet içinde ödenmezse icra ve iflas Kanununun 133 üncü maddesi gereğince ihale feshedilir, iki ihale arasındaki farktan ve % 10 faizden alıcı ve kefilleri mesul tutulacak ve hiçbir hükme hacet kalmadan kendilerinden tahsil edilecektir.</w:t>
      </w:r>
    </w:p>
    <w:p w:rsidR="001B17AB" w:rsidRDefault="007B5659">
      <w:pPr>
        <w:pStyle w:val="Gvdemetni0"/>
        <w:numPr>
          <w:ilvl w:val="0"/>
          <w:numId w:val="1"/>
        </w:numPr>
        <w:shd w:val="clear" w:color="auto" w:fill="auto"/>
        <w:tabs>
          <w:tab w:val="left" w:pos="356"/>
        </w:tabs>
        <w:ind w:left="20" w:right="40" w:firstLine="180"/>
      </w:pPr>
      <w:r>
        <w:t>Şartname, ilân tarihinden itibaren herkesin görebilmesi için dairede açık olup gideri verildiği takdirde isteyen alıcıya bir örneği gönderilebilir.</w:t>
      </w:r>
    </w:p>
    <w:p w:rsidR="001B17AB" w:rsidRDefault="007B5659">
      <w:pPr>
        <w:pStyle w:val="Gvdemetni0"/>
        <w:numPr>
          <w:ilvl w:val="0"/>
          <w:numId w:val="1"/>
        </w:numPr>
        <w:shd w:val="clear" w:color="auto" w:fill="auto"/>
        <w:tabs>
          <w:tab w:val="left" w:pos="337"/>
        </w:tabs>
        <w:ind w:left="20" w:right="40" w:firstLine="180"/>
      </w:pPr>
      <w:r>
        <w:t>Satışa iştirak edenlerin şartnameyi görmüş ve münderecatını kabul etmiş sayılacakları, başkaca bilgi almak isteyenlerin yukarıda numarası yazılı dosya numarasıyla müdürlüğümüze başvurmaları, tapuda adresi bulunup da tebliğ edilmeyen alakadarlara bu ilanın tebliğ yerine geçeceği ilân olunur.</w:t>
      </w:r>
    </w:p>
    <w:p w:rsidR="001B17AB" w:rsidRDefault="007B5659">
      <w:pPr>
        <w:pStyle w:val="Gvdemetni0"/>
        <w:shd w:val="clear" w:color="auto" w:fill="auto"/>
        <w:ind w:left="20" w:firstLine="180"/>
      </w:pPr>
      <w:r>
        <w:t>(İİK m. 126)</w:t>
      </w:r>
    </w:p>
    <w:p w:rsidR="001B17AB" w:rsidRDefault="007B5659">
      <w:pPr>
        <w:pStyle w:val="Gvdemetni0"/>
        <w:shd w:val="clear" w:color="auto" w:fill="auto"/>
        <w:ind w:left="20" w:firstLine="180"/>
      </w:pPr>
      <w:r>
        <w:t xml:space="preserve">(*) ilgililer tabirine irtifak hakkı sahipleri de </w:t>
      </w:r>
      <w:proofErr w:type="gramStart"/>
      <w:r>
        <w:t>dahildir</w:t>
      </w:r>
      <w:proofErr w:type="gramEnd"/>
      <w:r>
        <w:t>.</w:t>
      </w:r>
    </w:p>
    <w:p w:rsidR="001B17AB" w:rsidRDefault="007B5659">
      <w:pPr>
        <w:pStyle w:val="Gvdemetni0"/>
        <w:shd w:val="clear" w:color="auto" w:fill="auto"/>
        <w:spacing w:after="142"/>
        <w:ind w:left="20" w:firstLine="180"/>
      </w:pPr>
      <w:r>
        <w:t>(*) Tebliğ yapılamayan ilgililere İİK.'</w:t>
      </w:r>
      <w:proofErr w:type="spellStart"/>
      <w:r>
        <w:t>nun</w:t>
      </w:r>
      <w:proofErr w:type="spellEnd"/>
      <w:r>
        <w:t xml:space="preserve"> 126 ve 127. maddelerine göre ilanen tebliğ olunur.</w:t>
      </w:r>
    </w:p>
    <w:p w:rsidR="001B17AB" w:rsidRDefault="0032251C">
      <w:pPr>
        <w:pStyle w:val="Gvdemetni30"/>
        <w:shd w:val="clear" w:color="auto" w:fill="000000"/>
        <w:spacing w:before="0" w:after="238" w:line="140" w:lineRule="exact"/>
        <w:ind w:left="20"/>
        <w:jc w:val="left"/>
      </w:pPr>
      <w:r>
        <w:pict>
          <v:shapetype id="_x0000_t202" coordsize="21600,21600" o:spt="202" path="m,l,21600r21600,l21600,xe">
            <v:stroke joinstyle="miter"/>
            <v:path gradientshapeok="t" o:connecttype="rect"/>
          </v:shapetype>
          <v:shape id="_x0000_s1026" type="#_x0000_t202" style="position:absolute;left:0;text-align:left;margin-left:268.5pt;margin-top:1.2pt;width:38.7pt;height:6.65pt;z-index:-251658752;mso-wrap-distance-left:5pt;mso-wrap-distance-top:9.1pt;mso-wrap-distance-right:5pt;mso-position-horizontal-relative:margin" filled="f" stroked="f">
            <v:textbox style="mso-next-textbox:#_x0000_s1026;mso-fit-shape-to-text:t" inset="0,0,0,0">
              <w:txbxContent>
                <w:p w:rsidR="001B17AB" w:rsidRDefault="007B5659">
                  <w:pPr>
                    <w:pStyle w:val="Gvdemetni4"/>
                    <w:shd w:val="clear" w:color="auto" w:fill="000000"/>
                    <w:spacing w:line="110" w:lineRule="exact"/>
                    <w:ind w:left="100"/>
                  </w:pPr>
                  <w:r>
                    <w:rPr>
                      <w:rStyle w:val="Gvdemetni4Exact0"/>
                      <w:b/>
                      <w:bCs/>
                    </w:rPr>
                    <w:t>(Basın:30704)</w:t>
                  </w:r>
                </w:p>
              </w:txbxContent>
            </v:textbox>
            <w10:wrap type="square" anchorx="margin"/>
          </v:shape>
        </w:pict>
      </w:r>
      <w:r w:rsidR="007B5659">
        <w:rPr>
          <w:rStyle w:val="Gvdemetni31"/>
          <w:b/>
          <w:bCs/>
          <w:lang w:val="tr-TR"/>
        </w:rPr>
        <w:t xml:space="preserve"> </w:t>
      </w:r>
      <w:hyperlink r:id="rId7" w:history="1">
        <w:r w:rsidR="007B5659">
          <w:rPr>
            <w:rStyle w:val="Kpr"/>
          </w:rPr>
          <w:t>www.ilan.gov.tr</w:t>
        </w:r>
      </w:hyperlink>
      <w:r w:rsidR="007B5659">
        <w:rPr>
          <w:rStyle w:val="Gvdemetni31"/>
          <w:b/>
          <w:bCs/>
        </w:rPr>
        <w:t xml:space="preserve"> </w:t>
      </w:r>
    </w:p>
    <w:sectPr w:rsidR="001B17AB" w:rsidSect="001B17AB">
      <w:type w:val="continuous"/>
      <w:pgSz w:w="11909" w:h="16838"/>
      <w:pgMar w:top="1331" w:right="2373" w:bottom="126" w:left="33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BE5" w:rsidRDefault="00785BE5" w:rsidP="001B17AB">
      <w:r>
        <w:separator/>
      </w:r>
    </w:p>
  </w:endnote>
  <w:endnote w:type="continuationSeparator" w:id="0">
    <w:p w:rsidR="00785BE5" w:rsidRDefault="00785BE5" w:rsidP="001B17A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BE5" w:rsidRDefault="00785BE5"/>
  </w:footnote>
  <w:footnote w:type="continuationSeparator" w:id="0">
    <w:p w:rsidR="00785BE5" w:rsidRDefault="00785BE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F5627"/>
    <w:multiLevelType w:val="multilevel"/>
    <w:tmpl w:val="CF9043C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433179"/>
    <w:multiLevelType w:val="multilevel"/>
    <w:tmpl w:val="35B48BEC"/>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B17AB"/>
    <w:rsid w:val="001B17AB"/>
    <w:rsid w:val="0032251C"/>
    <w:rsid w:val="003E39F1"/>
    <w:rsid w:val="00443512"/>
    <w:rsid w:val="00785BE5"/>
    <w:rsid w:val="007B56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7A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B17AB"/>
    <w:rPr>
      <w:color w:val="000080"/>
      <w:u w:val="single"/>
    </w:rPr>
  </w:style>
  <w:style w:type="character" w:customStyle="1" w:styleId="Gvdemetni4Exact">
    <w:name w:val="Gövde metni (4) Exact"/>
    <w:basedOn w:val="VarsaylanParagrafYazTipi"/>
    <w:link w:val="Gvdemetni4"/>
    <w:rsid w:val="001B17AB"/>
    <w:rPr>
      <w:rFonts w:ascii="Arial Narrow" w:eastAsia="Arial Narrow" w:hAnsi="Arial Narrow" w:cs="Arial Narrow"/>
      <w:b/>
      <w:bCs/>
      <w:i w:val="0"/>
      <w:iCs w:val="0"/>
      <w:smallCaps w:val="0"/>
      <w:strike w:val="0"/>
      <w:sz w:val="11"/>
      <w:szCs w:val="11"/>
      <w:u w:val="none"/>
    </w:rPr>
  </w:style>
  <w:style w:type="character" w:customStyle="1" w:styleId="Gvdemetni4Exact0">
    <w:name w:val="Gövde metni (4) Exact"/>
    <w:basedOn w:val="Gvdemetni4Exact"/>
    <w:rsid w:val="001B17AB"/>
    <w:rPr>
      <w:color w:val="FFFFFF"/>
      <w:spacing w:val="0"/>
      <w:w w:val="100"/>
      <w:position w:val="0"/>
      <w:lang w:val="tr-TR"/>
    </w:rPr>
  </w:style>
  <w:style w:type="character" w:customStyle="1" w:styleId="Balk1">
    <w:name w:val="Başlık #1_"/>
    <w:basedOn w:val="VarsaylanParagrafYazTipi"/>
    <w:link w:val="Balk10"/>
    <w:rsid w:val="001B17AB"/>
    <w:rPr>
      <w:rFonts w:ascii="Verdana" w:eastAsia="Verdana" w:hAnsi="Verdana" w:cs="Verdana"/>
      <w:b w:val="0"/>
      <w:bCs w:val="0"/>
      <w:i w:val="0"/>
      <w:iCs w:val="0"/>
      <w:smallCaps w:val="0"/>
      <w:strike w:val="0"/>
      <w:sz w:val="22"/>
      <w:szCs w:val="22"/>
      <w:u w:val="none"/>
    </w:rPr>
  </w:style>
  <w:style w:type="character" w:customStyle="1" w:styleId="Balk11">
    <w:name w:val="Başlık #1"/>
    <w:basedOn w:val="Balk1"/>
    <w:rsid w:val="001B17AB"/>
    <w:rPr>
      <w:color w:val="FFFFFF"/>
      <w:spacing w:val="0"/>
      <w:w w:val="100"/>
      <w:position w:val="0"/>
      <w:lang w:val="tr-TR"/>
    </w:rPr>
  </w:style>
  <w:style w:type="character" w:customStyle="1" w:styleId="Gvdemetni2">
    <w:name w:val="Gövde metni (2)_"/>
    <w:basedOn w:val="VarsaylanParagrafYazTipi"/>
    <w:link w:val="Gvdemetni20"/>
    <w:rsid w:val="001B17AB"/>
    <w:rPr>
      <w:rFonts w:ascii="Sylfaen" w:eastAsia="Sylfaen" w:hAnsi="Sylfaen" w:cs="Sylfaen"/>
      <w:b w:val="0"/>
      <w:bCs w:val="0"/>
      <w:i w:val="0"/>
      <w:iCs w:val="0"/>
      <w:smallCaps w:val="0"/>
      <w:strike w:val="0"/>
      <w:sz w:val="8"/>
      <w:szCs w:val="8"/>
      <w:u w:val="none"/>
    </w:rPr>
  </w:style>
  <w:style w:type="character" w:customStyle="1" w:styleId="Gvdemetni21">
    <w:name w:val="Gövde metni (2)"/>
    <w:basedOn w:val="Gvdemetni2"/>
    <w:rsid w:val="001B17AB"/>
    <w:rPr>
      <w:color w:val="FFFFFF"/>
      <w:spacing w:val="0"/>
      <w:w w:val="100"/>
      <w:position w:val="0"/>
      <w:lang w:val="tr-TR"/>
    </w:rPr>
  </w:style>
  <w:style w:type="character" w:customStyle="1" w:styleId="Gvdemetni3">
    <w:name w:val="Gövde metni (3)_"/>
    <w:basedOn w:val="VarsaylanParagrafYazTipi"/>
    <w:link w:val="Gvdemetni30"/>
    <w:rsid w:val="001B17AB"/>
    <w:rPr>
      <w:rFonts w:ascii="Arial Narrow" w:eastAsia="Arial Narrow" w:hAnsi="Arial Narrow" w:cs="Arial Narrow"/>
      <w:b/>
      <w:bCs/>
      <w:i w:val="0"/>
      <w:iCs w:val="0"/>
      <w:smallCaps w:val="0"/>
      <w:strike w:val="0"/>
      <w:sz w:val="14"/>
      <w:szCs w:val="14"/>
      <w:u w:val="none"/>
    </w:rPr>
  </w:style>
  <w:style w:type="character" w:customStyle="1" w:styleId="Gvdemetni">
    <w:name w:val="Gövde metni_"/>
    <w:basedOn w:val="VarsaylanParagrafYazTipi"/>
    <w:link w:val="Gvdemetni0"/>
    <w:rsid w:val="001B17AB"/>
    <w:rPr>
      <w:rFonts w:ascii="Arial Narrow" w:eastAsia="Arial Narrow" w:hAnsi="Arial Narrow" w:cs="Arial Narrow"/>
      <w:b w:val="0"/>
      <w:bCs w:val="0"/>
      <w:i w:val="0"/>
      <w:iCs w:val="0"/>
      <w:smallCaps w:val="0"/>
      <w:strike w:val="0"/>
      <w:sz w:val="14"/>
      <w:szCs w:val="14"/>
      <w:u w:val="none"/>
    </w:rPr>
  </w:style>
  <w:style w:type="character" w:customStyle="1" w:styleId="GvdemetniKaln">
    <w:name w:val="Gövde metni + Kalın"/>
    <w:basedOn w:val="Gvdemetni"/>
    <w:rsid w:val="001B17AB"/>
    <w:rPr>
      <w:b/>
      <w:bCs/>
      <w:color w:val="000000"/>
      <w:spacing w:val="0"/>
      <w:w w:val="100"/>
      <w:position w:val="0"/>
      <w:lang w:val="tr-TR"/>
    </w:rPr>
  </w:style>
  <w:style w:type="character" w:customStyle="1" w:styleId="Gvdemetni1ptbolukbraklyor">
    <w:name w:val="Gövde metni + 1 pt boşluk bırakılıyor"/>
    <w:basedOn w:val="Gvdemetni"/>
    <w:rsid w:val="001B17AB"/>
    <w:rPr>
      <w:color w:val="000000"/>
      <w:spacing w:val="30"/>
      <w:w w:val="100"/>
      <w:position w:val="0"/>
      <w:lang w:val="tr-TR"/>
    </w:rPr>
  </w:style>
  <w:style w:type="character" w:customStyle="1" w:styleId="Gvdemetni31">
    <w:name w:val="Gövde metni (3)"/>
    <w:basedOn w:val="Gvdemetni3"/>
    <w:rsid w:val="001B17AB"/>
    <w:rPr>
      <w:color w:val="FFFFFF"/>
      <w:spacing w:val="0"/>
      <w:w w:val="100"/>
      <w:position w:val="0"/>
      <w:lang w:val="en-US"/>
    </w:rPr>
  </w:style>
  <w:style w:type="paragraph" w:customStyle="1" w:styleId="Gvdemetni4">
    <w:name w:val="Gövde metni (4)"/>
    <w:basedOn w:val="Normal"/>
    <w:link w:val="Gvdemetni4Exact"/>
    <w:rsid w:val="001B17AB"/>
    <w:pPr>
      <w:shd w:val="clear" w:color="auto" w:fill="FFFFFF"/>
      <w:spacing w:line="0" w:lineRule="atLeast"/>
    </w:pPr>
    <w:rPr>
      <w:rFonts w:ascii="Arial Narrow" w:eastAsia="Arial Narrow" w:hAnsi="Arial Narrow" w:cs="Arial Narrow"/>
      <w:b/>
      <w:bCs/>
      <w:sz w:val="11"/>
      <w:szCs w:val="11"/>
    </w:rPr>
  </w:style>
  <w:style w:type="paragraph" w:customStyle="1" w:styleId="Balk10">
    <w:name w:val="Başlık #1"/>
    <w:basedOn w:val="Normal"/>
    <w:link w:val="Balk1"/>
    <w:rsid w:val="001B17AB"/>
    <w:pPr>
      <w:shd w:val="clear" w:color="auto" w:fill="FFFFFF"/>
      <w:spacing w:line="254" w:lineRule="exact"/>
      <w:jc w:val="center"/>
      <w:outlineLvl w:val="0"/>
    </w:pPr>
    <w:rPr>
      <w:rFonts w:ascii="Verdana" w:eastAsia="Verdana" w:hAnsi="Verdana" w:cs="Verdana"/>
      <w:sz w:val="22"/>
      <w:szCs w:val="22"/>
    </w:rPr>
  </w:style>
  <w:style w:type="paragraph" w:customStyle="1" w:styleId="Gvdemetni20">
    <w:name w:val="Gövde metni (2)"/>
    <w:basedOn w:val="Normal"/>
    <w:link w:val="Gvdemetni2"/>
    <w:rsid w:val="001B17AB"/>
    <w:pPr>
      <w:shd w:val="clear" w:color="auto" w:fill="FFFFFF"/>
      <w:spacing w:after="120" w:line="0" w:lineRule="atLeast"/>
    </w:pPr>
    <w:rPr>
      <w:rFonts w:ascii="Sylfaen" w:eastAsia="Sylfaen" w:hAnsi="Sylfaen" w:cs="Sylfaen"/>
      <w:sz w:val="8"/>
      <w:szCs w:val="8"/>
    </w:rPr>
  </w:style>
  <w:style w:type="paragraph" w:customStyle="1" w:styleId="Gvdemetni30">
    <w:name w:val="Gövde metni (3)"/>
    <w:basedOn w:val="Normal"/>
    <w:link w:val="Gvdemetni3"/>
    <w:rsid w:val="001B17AB"/>
    <w:pPr>
      <w:shd w:val="clear" w:color="auto" w:fill="FFFFFF"/>
      <w:spacing w:before="120" w:line="168" w:lineRule="exact"/>
      <w:jc w:val="both"/>
    </w:pPr>
    <w:rPr>
      <w:rFonts w:ascii="Arial Narrow" w:eastAsia="Arial Narrow" w:hAnsi="Arial Narrow" w:cs="Arial Narrow"/>
      <w:b/>
      <w:bCs/>
      <w:sz w:val="14"/>
      <w:szCs w:val="14"/>
    </w:rPr>
  </w:style>
  <w:style w:type="paragraph" w:customStyle="1" w:styleId="Gvdemetni0">
    <w:name w:val="Gövde metni"/>
    <w:basedOn w:val="Normal"/>
    <w:link w:val="Gvdemetni"/>
    <w:rsid w:val="001B17AB"/>
    <w:pPr>
      <w:shd w:val="clear" w:color="auto" w:fill="FFFFFF"/>
      <w:spacing w:line="168" w:lineRule="exact"/>
      <w:ind w:hanging="180"/>
      <w:jc w:val="both"/>
    </w:pPr>
    <w:rPr>
      <w:rFonts w:ascii="Arial Narrow" w:eastAsia="Arial Narrow" w:hAnsi="Arial Narrow" w:cs="Arial Narrow"/>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2012-05-19T11:18:00Z</dcterms:created>
  <dcterms:modified xsi:type="dcterms:W3CDTF">2012-05-19T11:18:00Z</dcterms:modified>
</cp:coreProperties>
</file>