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FC" w:rsidRDefault="00CC58DE">
      <w:pPr>
        <w:pStyle w:val="Gvdemetni20"/>
        <w:framePr w:wrap="none" w:vAnchor="page" w:hAnchor="page" w:x="2067" w:y="3108"/>
        <w:shd w:val="clear" w:color="auto" w:fill="auto"/>
        <w:spacing w:after="0" w:line="490" w:lineRule="exact"/>
        <w:ind w:left="620"/>
      </w:pPr>
      <w:r>
        <w:t>+</w:t>
      </w:r>
    </w:p>
    <w:p w:rsidR="00B63CFC" w:rsidRDefault="00CC58DE">
      <w:pPr>
        <w:pStyle w:val="Balk10"/>
        <w:framePr w:w="8054" w:h="5535" w:hRule="exact" w:wrap="none" w:vAnchor="page" w:hAnchor="page" w:x="2067" w:y="3674"/>
        <w:shd w:val="clear" w:color="auto" w:fill="auto"/>
        <w:spacing w:before="0" w:after="58" w:line="320" w:lineRule="exact"/>
        <w:ind w:left="20"/>
      </w:pPr>
      <w:bookmarkStart w:id="0" w:name="bookmark0"/>
      <w:r>
        <w:t xml:space="preserve">T.C. KÜÇÜKÇEKMECE 3.İCRA MÜDÜRLÜĞÜ TAŞINMAZ </w:t>
      </w:r>
      <w:proofErr w:type="spellStart"/>
      <w:r>
        <w:t>Aı</w:t>
      </w:r>
      <w:bookmarkEnd w:id="0"/>
      <w:proofErr w:type="spellEnd"/>
    </w:p>
    <w:p w:rsidR="00B63CFC" w:rsidRDefault="00CC58DE">
      <w:pPr>
        <w:pStyle w:val="Balk20"/>
        <w:framePr w:w="8054" w:h="5535" w:hRule="exact" w:wrap="none" w:vAnchor="page" w:hAnchor="page" w:x="2067" w:y="3674"/>
        <w:shd w:val="clear" w:color="auto" w:fill="auto"/>
        <w:spacing w:before="0" w:line="190" w:lineRule="exact"/>
        <w:ind w:left="4160"/>
      </w:pPr>
      <w:bookmarkStart w:id="1" w:name="bookmark1"/>
      <w:r>
        <w:t xml:space="preserve">Dosya No: 2011/4596 </w:t>
      </w:r>
      <w:proofErr w:type="spellStart"/>
      <w:r>
        <w:t>Tal</w:t>
      </w:r>
      <w:proofErr w:type="spellEnd"/>
      <w:r>
        <w:t>.</w:t>
      </w:r>
      <w:bookmarkEnd w:id="1"/>
    </w:p>
    <w:p w:rsidR="00B63CFC" w:rsidRDefault="00CC58DE">
      <w:pPr>
        <w:pStyle w:val="Gvdemetni0"/>
        <w:framePr w:w="8054" w:h="5535" w:hRule="exact" w:wrap="none" w:vAnchor="page" w:hAnchor="page" w:x="2067" w:y="3674"/>
        <w:shd w:val="clear" w:color="auto" w:fill="auto"/>
        <w:ind w:left="20" w:right="140" w:firstLine="0"/>
      </w:pPr>
      <w:r>
        <w:t xml:space="preserve">Bir borçtan dolayı hacizli bulunan ve satılmasına karar verilen taşınmazın tapu kaydı, adedi, cinsi, evsafı, özellikleri ile hali ha </w:t>
      </w:r>
      <w:r>
        <w:rPr>
          <w:rStyle w:val="GvdemetniKaln0ptbolukbraklyor"/>
        </w:rPr>
        <w:t xml:space="preserve">TAPU KAYDI: 1-) </w:t>
      </w:r>
      <w:r>
        <w:t xml:space="preserve">İstanbul ili, Avcılar ilçesi, </w:t>
      </w:r>
      <w:r>
        <w:t>Avcılar mah</w:t>
      </w:r>
      <w:proofErr w:type="gramStart"/>
      <w:r>
        <w:t>.,</w:t>
      </w:r>
      <w:proofErr w:type="gramEnd"/>
      <w:r>
        <w:t xml:space="preserve"> </w:t>
      </w:r>
      <w:proofErr w:type="spellStart"/>
      <w:r>
        <w:t>Gümüşpala</w:t>
      </w:r>
      <w:proofErr w:type="spellEnd"/>
      <w:r>
        <w:t xml:space="preserve"> mevkii, 14331 parselde kayıtlı 261,00 m2 miktarlı ta</w:t>
      </w:r>
    </w:p>
    <w:p w:rsidR="00B63CFC" w:rsidRDefault="00CC58DE">
      <w:pPr>
        <w:pStyle w:val="Gvdemetni0"/>
        <w:framePr w:w="8054" w:h="5535" w:hRule="exact" w:wrap="none" w:vAnchor="page" w:hAnchor="page" w:x="2067" w:y="3674"/>
        <w:numPr>
          <w:ilvl w:val="0"/>
          <w:numId w:val="1"/>
        </w:numPr>
        <w:shd w:val="clear" w:color="auto" w:fill="auto"/>
        <w:tabs>
          <w:tab w:val="left" w:pos="255"/>
        </w:tabs>
        <w:ind w:left="240"/>
      </w:pPr>
      <w:r>
        <w:rPr>
          <w:rStyle w:val="GvdemetniKaln0ptbolukbraklyor"/>
        </w:rPr>
        <w:t>)</w:t>
      </w:r>
      <w:r>
        <w:tab/>
        <w:t>İstanbul ili, Avcılar ilçesi, Avcılar mah</w:t>
      </w:r>
      <w:proofErr w:type="gramStart"/>
      <w:r>
        <w:t>.,</w:t>
      </w:r>
      <w:proofErr w:type="gramEnd"/>
      <w:r>
        <w:t xml:space="preserve"> 14332 parselde kayıtlı bodrum kat, 1 bağımsız bölüm </w:t>
      </w:r>
      <w:proofErr w:type="spellStart"/>
      <w:r>
        <w:t>nolu</w:t>
      </w:r>
      <w:proofErr w:type="spellEnd"/>
      <w:r>
        <w:t xml:space="preserve"> dükkan vasıflı taşı</w:t>
      </w:r>
    </w:p>
    <w:p w:rsidR="00B63CFC" w:rsidRDefault="00CC58DE">
      <w:pPr>
        <w:pStyle w:val="Gvdemetni0"/>
        <w:framePr w:w="8054" w:h="5535" w:hRule="exact" w:wrap="none" w:vAnchor="page" w:hAnchor="page" w:x="2067" w:y="3674"/>
        <w:numPr>
          <w:ilvl w:val="0"/>
          <w:numId w:val="1"/>
        </w:numPr>
        <w:shd w:val="clear" w:color="auto" w:fill="auto"/>
        <w:tabs>
          <w:tab w:val="left" w:pos="260"/>
        </w:tabs>
        <w:ind w:left="20" w:right="140" w:firstLine="0"/>
      </w:pPr>
      <w:r>
        <w:rPr>
          <w:rStyle w:val="GvdemetniKaln0ptbolukbraklyor"/>
        </w:rPr>
        <w:t>)</w:t>
      </w:r>
      <w:r>
        <w:tab/>
        <w:t>İstanbul ili, Avcılar ilçesi, Avcılar mah</w:t>
      </w:r>
      <w:proofErr w:type="gramStart"/>
      <w:r>
        <w:t>.,</w:t>
      </w:r>
      <w:proofErr w:type="gramEnd"/>
      <w:r>
        <w:t xml:space="preserve"> 18899 pars</w:t>
      </w:r>
      <w:r>
        <w:t xml:space="preserve">elde kayıtlı bodrum kat, 1 bağımsız bölüm </w:t>
      </w:r>
      <w:proofErr w:type="spellStart"/>
      <w:r>
        <w:t>nolu</w:t>
      </w:r>
      <w:proofErr w:type="spellEnd"/>
      <w:r>
        <w:t xml:space="preserve">, dükkan-depolu vasıflı </w:t>
      </w:r>
      <w:r>
        <w:rPr>
          <w:rStyle w:val="GvdemetniKaln0ptbolukbraklyor"/>
        </w:rPr>
        <w:t xml:space="preserve">İMAR DURUMU </w:t>
      </w:r>
      <w:r>
        <w:t>: Avcılar Belediye Başkanlığı imar ve Şehircilik Müdürlüğünün imar durumu yazısına göre; Avcılar ilçesi, Deni; parsel sayılı yerler, 28/08/2008 tasdik tarihli 1/1000 ölçekli,</w:t>
      </w:r>
      <w:r>
        <w:t xml:space="preserve"> Avcılar uygulama imar planında "konut” alanında kalmakta olup, yan bahçe:3.00m ikiz nizam 4 kat (H=12.50m) yapılaşma şartlarına haizdir denilmiştir. Avcılar ilçesi, </w:t>
      </w:r>
      <w:proofErr w:type="spellStart"/>
      <w:r>
        <w:t>Denizköşkler</w:t>
      </w:r>
      <w:proofErr w:type="spellEnd"/>
      <w:r>
        <w:t xml:space="preserve"> mah</w:t>
      </w:r>
      <w:proofErr w:type="gramStart"/>
      <w:r>
        <w:t>.,</w:t>
      </w:r>
      <w:proofErr w:type="gramEnd"/>
      <w:r>
        <w:t xml:space="preserve"> 22 f tasdik tarihli 1/1000 ölçekli, Avcılar uygulama imar planında “kon</w:t>
      </w:r>
      <w:r>
        <w:t>ut” alanında kalmakta olup, ön bahçe: c (</w:t>
      </w:r>
      <w:proofErr w:type="spellStart"/>
      <w:r>
        <w:t>teş</w:t>
      </w:r>
      <w:proofErr w:type="spellEnd"/>
      <w:r>
        <w:t>.</w:t>
      </w:r>
      <w:proofErr w:type="spellStart"/>
      <w:r>
        <w:t>ist.</w:t>
      </w:r>
      <w:proofErr w:type="spellEnd"/>
      <w:r>
        <w:t xml:space="preserve">), arka </w:t>
      </w:r>
      <w:proofErr w:type="spellStart"/>
      <w:r>
        <w:t>ba</w:t>
      </w:r>
      <w:proofErr w:type="spellEnd"/>
      <w:r>
        <w:t xml:space="preserve"> 4 kat (H=12.50m) yapılaşma şartlarına haizdir. Söz konusu parseldeki binanın zemin katındaki 3 </w:t>
      </w:r>
      <w:proofErr w:type="spellStart"/>
      <w:r>
        <w:t>nolu</w:t>
      </w:r>
      <w:proofErr w:type="spellEnd"/>
      <w:r>
        <w:t xml:space="preserve"> bağımsız bölümüyle il yapı tatil tutanağı düzenlenmiş ve Belediye Encümenince imar kanununun 32.</w:t>
      </w:r>
      <w:r>
        <w:t>ve 42.maddeleri gereği para ve yıkım cezalarına I tetkikinden anlaşılmıştır, denilmiştir.</w:t>
      </w:r>
    </w:p>
    <w:p w:rsidR="00B63CFC" w:rsidRDefault="00CC58DE">
      <w:pPr>
        <w:pStyle w:val="Gvdemetni0"/>
        <w:framePr w:w="8054" w:h="5535" w:hRule="exact" w:wrap="none" w:vAnchor="page" w:hAnchor="page" w:x="2067" w:y="3674"/>
        <w:shd w:val="clear" w:color="auto" w:fill="auto"/>
        <w:ind w:left="240"/>
      </w:pPr>
      <w:r>
        <w:rPr>
          <w:rStyle w:val="GvdemetniKaln0ptbolukbraklyor"/>
        </w:rPr>
        <w:t xml:space="preserve">ÖZELLİKLERİ VE HALİ HAZIR </w:t>
      </w:r>
      <w:proofErr w:type="gramStart"/>
      <w:r>
        <w:rPr>
          <w:rStyle w:val="GvdemetniKaln0ptbolukbraklyor"/>
        </w:rPr>
        <w:t xml:space="preserve">DURUMU </w:t>
      </w:r>
      <w:r>
        <w:t>: Küçükçekmece'1</w:t>
      </w:r>
      <w:proofErr w:type="gramEnd"/>
      <w:r>
        <w:t xml:space="preserve">.İcra Hukuk Mahkemesinin 2012/92 Esas sayılı dosyasından </w:t>
      </w:r>
      <w:proofErr w:type="spellStart"/>
      <w:r>
        <w:t>düzeı</w:t>
      </w:r>
      <w:proofErr w:type="spellEnd"/>
    </w:p>
    <w:p w:rsidR="00B63CFC" w:rsidRDefault="00CC58DE">
      <w:pPr>
        <w:pStyle w:val="Gvdemetni0"/>
        <w:framePr w:w="8054" w:h="5535" w:hRule="exact" w:wrap="none" w:vAnchor="page" w:hAnchor="page" w:x="2067" w:y="3674"/>
        <w:numPr>
          <w:ilvl w:val="0"/>
          <w:numId w:val="2"/>
        </w:numPr>
        <w:shd w:val="clear" w:color="auto" w:fill="auto"/>
        <w:tabs>
          <w:tab w:val="left" w:pos="246"/>
        </w:tabs>
        <w:ind w:left="20" w:right="140" w:firstLine="0"/>
      </w:pPr>
      <w:r>
        <w:rPr>
          <w:rStyle w:val="GvdemetniKaln0ptbolukbraklyor"/>
        </w:rPr>
        <w:t>)</w:t>
      </w:r>
      <w:r>
        <w:tab/>
        <w:t xml:space="preserve">Satışa konu İstanbul ili, Avcılar ilçesi, </w:t>
      </w:r>
      <w:proofErr w:type="spellStart"/>
      <w:r>
        <w:t>Denizköşkler</w:t>
      </w:r>
      <w:proofErr w:type="spellEnd"/>
      <w:r>
        <w:t xml:space="preserve"> mah. </w:t>
      </w:r>
      <w:proofErr w:type="spellStart"/>
      <w:r>
        <w:t>Gümüşpala</w:t>
      </w:r>
      <w:proofErr w:type="spellEnd"/>
      <w:r>
        <w:t xml:space="preserve"> </w:t>
      </w:r>
      <w:proofErr w:type="spellStart"/>
      <w:r>
        <w:t>cad.no</w:t>
      </w:r>
      <w:proofErr w:type="spellEnd"/>
      <w:r>
        <w:t xml:space="preserve">:28 adresinde mevcut tapunun 22 pafta, 188 üzerinde 1 bodrum + 1 zemin + 4 adet normal kattan müteşekkil, her katında 2 daire olan B.A.K. bir yapının olduğu </w:t>
      </w:r>
      <w:proofErr w:type="spellStart"/>
      <w:r>
        <w:t>görülr</w:t>
      </w:r>
      <w:proofErr w:type="spellEnd"/>
      <w:r>
        <w:t xml:space="preserve"> binanın bodrum katında 1 </w:t>
      </w:r>
      <w:proofErr w:type="spellStart"/>
      <w:r>
        <w:t>nolu</w:t>
      </w:r>
      <w:proofErr w:type="spellEnd"/>
      <w:r>
        <w:t xml:space="preserve"> depolu </w:t>
      </w:r>
      <w:proofErr w:type="gramStart"/>
      <w:r>
        <w:t>dükkandır</w:t>
      </w:r>
      <w:proofErr w:type="gramEnd"/>
      <w:r>
        <w:t xml:space="preserve">. </w:t>
      </w:r>
      <w:proofErr w:type="gramStart"/>
      <w:r>
        <w:t>Dükkanın</w:t>
      </w:r>
      <w:proofErr w:type="gramEnd"/>
      <w:r>
        <w:t xml:space="preserve"> t</w:t>
      </w:r>
      <w:r>
        <w:t xml:space="preserve">abanı dökme mozaik duvarları plastik, tavan kireç boyalı, </w:t>
      </w:r>
      <w:proofErr w:type="spellStart"/>
      <w:r>
        <w:t>dışarıd</w:t>
      </w:r>
      <w:proofErr w:type="spellEnd"/>
      <w:r>
        <w:t>; beraber yaklaşık 70 m2 olduğu tespit edilmiştir.</w:t>
      </w:r>
    </w:p>
    <w:p w:rsidR="00B63CFC" w:rsidRDefault="00CC58DE">
      <w:pPr>
        <w:pStyle w:val="Gvdemetni0"/>
        <w:framePr w:w="8054" w:h="5535" w:hRule="exact" w:wrap="none" w:vAnchor="page" w:hAnchor="page" w:x="2067" w:y="3674"/>
        <w:numPr>
          <w:ilvl w:val="0"/>
          <w:numId w:val="2"/>
        </w:numPr>
        <w:shd w:val="clear" w:color="auto" w:fill="auto"/>
        <w:tabs>
          <w:tab w:val="left" w:pos="260"/>
        </w:tabs>
        <w:ind w:left="20" w:right="140" w:firstLine="0"/>
      </w:pPr>
      <w:r>
        <w:rPr>
          <w:rStyle w:val="GvdemetniKaln0ptbolukbraklyor"/>
        </w:rPr>
        <w:t>)</w:t>
      </w:r>
      <w:r>
        <w:tab/>
        <w:t xml:space="preserve">Satışa konu İstanbul ili, Avcılar ilçesi, </w:t>
      </w:r>
      <w:proofErr w:type="spellStart"/>
      <w:r>
        <w:t>Denizköşkler</w:t>
      </w:r>
      <w:proofErr w:type="spellEnd"/>
      <w:r>
        <w:t xml:space="preserve"> mah</w:t>
      </w:r>
      <w:proofErr w:type="gramStart"/>
      <w:r>
        <w:t>.,</w:t>
      </w:r>
      <w:proofErr w:type="gramEnd"/>
      <w:r>
        <w:t xml:space="preserve"> </w:t>
      </w:r>
      <w:proofErr w:type="spellStart"/>
      <w:r>
        <w:t>Gümüşpala</w:t>
      </w:r>
      <w:proofErr w:type="spellEnd"/>
      <w:r>
        <w:t xml:space="preserve"> </w:t>
      </w:r>
      <w:proofErr w:type="spellStart"/>
      <w:r>
        <w:t>cad.no</w:t>
      </w:r>
      <w:proofErr w:type="spellEnd"/>
      <w:r>
        <w:t xml:space="preserve">:28 adresinde mevcut tapunun 22 pafta, L üzerinde 1 bodrum + </w:t>
      </w:r>
      <w:r>
        <w:t xml:space="preserve">1 zemin + 4 adet normal kattan müteşekkil her katında 2 daire olan B.A.K. bir yapının olduğu </w:t>
      </w:r>
      <w:proofErr w:type="spellStart"/>
      <w:r>
        <w:t>görüln</w:t>
      </w:r>
      <w:proofErr w:type="spellEnd"/>
      <w:r>
        <w:t xml:space="preserve"> binanın bodrum katında 1 </w:t>
      </w:r>
      <w:proofErr w:type="spellStart"/>
      <w:r>
        <w:t>nolu</w:t>
      </w:r>
      <w:proofErr w:type="spellEnd"/>
      <w:r>
        <w:t xml:space="preserve"> depolu dükkandır. </w:t>
      </w:r>
      <w:proofErr w:type="gramStart"/>
      <w:r>
        <w:t>Dükkanın</w:t>
      </w:r>
      <w:proofErr w:type="gramEnd"/>
      <w:r>
        <w:t xml:space="preserve"> tabanı dökme mozaik, duvarları plastik, tavan kireç boyalı, </w:t>
      </w:r>
      <w:proofErr w:type="spellStart"/>
      <w:r>
        <w:t>dışarıd</w:t>
      </w:r>
      <w:proofErr w:type="spellEnd"/>
      <w:r>
        <w:t xml:space="preserve">; beraber yaklaşık 40 m2 olduğu </w:t>
      </w:r>
      <w:r>
        <w:t>tespit edilmiştir.</w:t>
      </w:r>
    </w:p>
    <w:p w:rsidR="00B63CFC" w:rsidRDefault="00CC58DE">
      <w:pPr>
        <w:pStyle w:val="Gvdemetni0"/>
        <w:framePr w:w="8054" w:h="5535" w:hRule="exact" w:wrap="none" w:vAnchor="page" w:hAnchor="page" w:x="2067" w:y="3674"/>
        <w:numPr>
          <w:ilvl w:val="0"/>
          <w:numId w:val="2"/>
        </w:numPr>
        <w:shd w:val="clear" w:color="auto" w:fill="auto"/>
        <w:tabs>
          <w:tab w:val="left" w:pos="260"/>
        </w:tabs>
        <w:ind w:left="20" w:right="140" w:firstLine="0"/>
      </w:pPr>
      <w:r>
        <w:rPr>
          <w:rStyle w:val="GvdemetniKaln0ptbolukbraklyor"/>
        </w:rPr>
        <w:t>)</w:t>
      </w:r>
      <w:r>
        <w:tab/>
        <w:t xml:space="preserve">Satışa konu İstanbul ili, Avcılar ilçesi, </w:t>
      </w:r>
      <w:proofErr w:type="spellStart"/>
      <w:r>
        <w:t>Denizköşkler</w:t>
      </w:r>
      <w:proofErr w:type="spellEnd"/>
      <w:r>
        <w:t xml:space="preserve"> mah</w:t>
      </w:r>
      <w:proofErr w:type="gramStart"/>
      <w:r>
        <w:t>.,</w:t>
      </w:r>
      <w:proofErr w:type="gramEnd"/>
      <w:r>
        <w:t xml:space="preserve"> </w:t>
      </w:r>
      <w:proofErr w:type="spellStart"/>
      <w:r>
        <w:t>Gümüşpala</w:t>
      </w:r>
      <w:proofErr w:type="spellEnd"/>
      <w:r>
        <w:t xml:space="preserve"> </w:t>
      </w:r>
      <w:proofErr w:type="spellStart"/>
      <w:r>
        <w:t>cad.no</w:t>
      </w:r>
      <w:proofErr w:type="spellEnd"/>
      <w:r>
        <w:t>:31 adresinde mevcut tapunun 22 pafta, 14 üzerinde 1 bodrum + 1 zemin + 4 adet normal kattan müteşekkil, her katında 1 daire olan B.A.K. bir yapının olduğu gö</w:t>
      </w:r>
      <w:r>
        <w:t xml:space="preserve">rülmüş olduğundan kat irtifakı olmadığından hesaplamalar toplam inşaat üzerinden hisse bazında yapılarak gösterilmiştir. Değer tespitine 1 salon, mutfak, banyo, </w:t>
      </w:r>
      <w:proofErr w:type="spellStart"/>
      <w:r>
        <w:t>wc</w:t>
      </w:r>
      <w:proofErr w:type="spellEnd"/>
      <w:r>
        <w:t xml:space="preserve">, balkondan oluşan ıslak hacimler tabanları seramik, oda ve salon tabanları parke kaplı, </w:t>
      </w:r>
      <w:proofErr w:type="spellStart"/>
      <w:r>
        <w:t>içdo</w:t>
      </w:r>
      <w:r>
        <w:t>ğrame</w:t>
      </w:r>
      <w:proofErr w:type="spellEnd"/>
      <w:r>
        <w:t xml:space="preserve"> </w:t>
      </w:r>
      <w:proofErr w:type="spellStart"/>
      <w:r>
        <w:t>çiftcam</w:t>
      </w:r>
      <w:proofErr w:type="spellEnd"/>
      <w:r>
        <w:t xml:space="preserve">, mutfak dolapları </w:t>
      </w:r>
      <w:proofErr w:type="spellStart"/>
      <w:r>
        <w:t>laminant</w:t>
      </w:r>
      <w:proofErr w:type="spellEnd"/>
      <w:r>
        <w:t xml:space="preserve">, mutfak tezgahı mermer, duvarları fayans, banyo klozet, lavabo, küvet ve duvarları </w:t>
      </w:r>
      <w:proofErr w:type="spellStart"/>
      <w:r>
        <w:t>ifyans</w:t>
      </w:r>
      <w:proofErr w:type="spellEnd"/>
      <w:r>
        <w:t xml:space="preserve">, </w:t>
      </w:r>
      <w:proofErr w:type="spellStart"/>
      <w:r>
        <w:t>dı</w:t>
      </w:r>
      <w:proofErr w:type="spellEnd"/>
      <w:r>
        <w:t xml:space="preserve"> boyalı, elektriği suyu mevcut, tahmini olarak meskenler 120 m2 civarında ve toplam inşaat alanı 750 m2 olduğu tespit edil</w:t>
      </w:r>
      <w:r>
        <w:t xml:space="preserve">miş </w:t>
      </w:r>
      <w:r>
        <w:rPr>
          <w:rStyle w:val="GvdemetniKaln0ptbolukbraklyor"/>
        </w:rPr>
        <w:t>TAKDİR OLUNAN KIYMETİ VE SATIŞ SAATİ</w:t>
      </w:r>
      <w:r>
        <w:t xml:space="preserve">: Küçükçekmece </w:t>
      </w:r>
      <w:proofErr w:type="spellStart"/>
      <w:r>
        <w:t>l.lcra</w:t>
      </w:r>
      <w:proofErr w:type="spellEnd"/>
      <w:r>
        <w:t xml:space="preserve"> Hukuk Mahkemesinin </w:t>
      </w:r>
      <w:proofErr w:type="gramStart"/>
      <w:r>
        <w:t>12/04/2012</w:t>
      </w:r>
      <w:proofErr w:type="gramEnd"/>
      <w:r>
        <w:t xml:space="preserve"> tarih 2012/92 Es.-2012 değeri için aşağıda yazılı miktarların tespitine karar verilmiştir.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37"/>
        <w:gridCol w:w="3715"/>
        <w:gridCol w:w="2630"/>
      </w:tblGrid>
      <w:tr w:rsidR="00B63CF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FC" w:rsidRDefault="00CC58DE">
            <w:pPr>
              <w:pStyle w:val="Gvdemetni0"/>
              <w:framePr w:w="7982" w:h="989" w:wrap="none" w:vAnchor="page" w:hAnchor="page" w:x="2072" w:y="922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GvdemetniKaln0ptbolukbraklyor0"/>
              </w:rPr>
              <w:t>PARSEL NO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FC" w:rsidRDefault="00CC58DE">
            <w:pPr>
              <w:pStyle w:val="Gvdemetni0"/>
              <w:framePr w:w="7982" w:h="989" w:wrap="none" w:vAnchor="page" w:hAnchor="page" w:x="2072" w:y="922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GvdemetniKaln0ptbolukbraklyor0"/>
              </w:rPr>
              <w:t>NİTELİĞİ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FC" w:rsidRDefault="00CC58DE">
            <w:pPr>
              <w:pStyle w:val="Gvdemetni0"/>
              <w:framePr w:w="7982" w:h="989" w:wrap="none" w:vAnchor="page" w:hAnchor="page" w:x="2072" w:y="9222"/>
              <w:shd w:val="clear" w:color="auto" w:fill="auto"/>
              <w:spacing w:line="140" w:lineRule="exact"/>
              <w:ind w:right="540" w:firstLine="0"/>
              <w:jc w:val="right"/>
            </w:pPr>
            <w:r>
              <w:rPr>
                <w:rStyle w:val="GvdemetniKaln0ptbolukbraklyor0"/>
              </w:rPr>
              <w:t>TESPİT EDİLEN DEĞER</w:t>
            </w:r>
          </w:p>
        </w:tc>
      </w:tr>
      <w:tr w:rsidR="00B63CF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FC" w:rsidRDefault="00CC58DE">
            <w:pPr>
              <w:pStyle w:val="Gvdemetni0"/>
              <w:framePr w:w="7982" w:h="989" w:wrap="none" w:vAnchor="page" w:hAnchor="page" w:x="2072" w:y="922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Gvdemetni1"/>
              </w:rPr>
              <w:t>14331 parsel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FC" w:rsidRDefault="00CC58DE">
            <w:pPr>
              <w:pStyle w:val="Gvdemetni0"/>
              <w:framePr w:w="7982" w:h="989" w:wrap="none" w:vAnchor="page" w:hAnchor="page" w:x="2072" w:y="922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Gvdemetni1"/>
              </w:rPr>
              <w:t xml:space="preserve">261 m2 alanlı tarla </w:t>
            </w:r>
            <w:r>
              <w:rPr>
                <w:rStyle w:val="Gvdemetni1"/>
              </w:rPr>
              <w:t>vasıflı taşınmazın tamamı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FC" w:rsidRDefault="00CC58DE">
            <w:pPr>
              <w:pStyle w:val="Gvdemetni0"/>
              <w:framePr w:w="7982" w:h="989" w:wrap="none" w:vAnchor="page" w:hAnchor="page" w:x="2072" w:y="9222"/>
              <w:shd w:val="clear" w:color="auto" w:fill="auto"/>
              <w:spacing w:line="140" w:lineRule="exact"/>
              <w:ind w:right="540" w:firstLine="0"/>
              <w:jc w:val="right"/>
            </w:pPr>
            <w:r>
              <w:rPr>
                <w:rStyle w:val="Gvdemetni1"/>
              </w:rPr>
              <w:t>1.275.500,OO-TL</w:t>
            </w:r>
          </w:p>
        </w:tc>
      </w:tr>
      <w:tr w:rsidR="00B63CF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FC" w:rsidRDefault="00CC58DE">
            <w:pPr>
              <w:pStyle w:val="Gvdemetni0"/>
              <w:framePr w:w="7982" w:h="989" w:wrap="none" w:vAnchor="page" w:hAnchor="page" w:x="2072" w:y="922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Gvdemetni1"/>
              </w:rPr>
              <w:t>14332 parsel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FC" w:rsidRDefault="00CC58DE">
            <w:pPr>
              <w:pStyle w:val="Gvdemetni0"/>
              <w:framePr w:w="7982" w:h="989" w:wrap="none" w:vAnchor="page" w:hAnchor="page" w:x="2072" w:y="922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Gvdemetni1"/>
              </w:rPr>
              <w:t xml:space="preserve">1 </w:t>
            </w:r>
            <w:proofErr w:type="spellStart"/>
            <w:r>
              <w:rPr>
                <w:rStyle w:val="Gvdemetni1"/>
              </w:rPr>
              <w:t>nolu</w:t>
            </w:r>
            <w:proofErr w:type="spellEnd"/>
            <w:r>
              <w:rPr>
                <w:rStyle w:val="Gvdemetni1"/>
              </w:rPr>
              <w:t xml:space="preserve"> </w:t>
            </w:r>
            <w:proofErr w:type="gramStart"/>
            <w:r>
              <w:rPr>
                <w:rStyle w:val="Gvdemetni1"/>
              </w:rPr>
              <w:t>dükkan</w:t>
            </w:r>
            <w:proofErr w:type="gramEnd"/>
            <w:r>
              <w:rPr>
                <w:rStyle w:val="Gvdemetni1"/>
              </w:rPr>
              <w:t xml:space="preserve"> vasıflı taşınmazın tamamı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FC" w:rsidRDefault="00CC58DE">
            <w:pPr>
              <w:pStyle w:val="Gvdemetni0"/>
              <w:framePr w:w="7982" w:h="989" w:wrap="none" w:vAnchor="page" w:hAnchor="page" w:x="2072" w:y="9222"/>
              <w:shd w:val="clear" w:color="auto" w:fill="auto"/>
              <w:spacing w:line="140" w:lineRule="exact"/>
              <w:ind w:right="540" w:firstLine="0"/>
              <w:jc w:val="right"/>
            </w:pPr>
            <w:r>
              <w:rPr>
                <w:rStyle w:val="Gvdemetni1"/>
              </w:rPr>
              <w:t>95.000,00-TL</w:t>
            </w:r>
          </w:p>
        </w:tc>
      </w:tr>
      <w:tr w:rsidR="00B63CF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FC" w:rsidRDefault="00CC58DE">
            <w:pPr>
              <w:pStyle w:val="Gvdemetni0"/>
              <w:framePr w:w="7982" w:h="989" w:wrap="none" w:vAnchor="page" w:hAnchor="page" w:x="2072" w:y="922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Gvdemetni1"/>
              </w:rPr>
              <w:t>18899 parsel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FC" w:rsidRDefault="00CC58DE">
            <w:pPr>
              <w:pStyle w:val="Gvdemetni0"/>
              <w:framePr w:w="7982" w:h="989" w:wrap="none" w:vAnchor="page" w:hAnchor="page" w:x="2072" w:y="9222"/>
              <w:shd w:val="clear" w:color="auto" w:fill="auto"/>
              <w:spacing w:line="140" w:lineRule="exact"/>
              <w:ind w:left="100" w:firstLine="0"/>
              <w:jc w:val="left"/>
            </w:pPr>
            <w:r>
              <w:rPr>
                <w:rStyle w:val="Gvdemetni1"/>
              </w:rPr>
              <w:t xml:space="preserve">1 </w:t>
            </w:r>
            <w:proofErr w:type="spellStart"/>
            <w:r>
              <w:rPr>
                <w:rStyle w:val="Gvdemetni1"/>
              </w:rPr>
              <w:t>nolu</w:t>
            </w:r>
            <w:proofErr w:type="spellEnd"/>
            <w:r>
              <w:rPr>
                <w:rStyle w:val="Gvdemetni1"/>
              </w:rPr>
              <w:t xml:space="preserve"> depolu </w:t>
            </w:r>
            <w:proofErr w:type="gramStart"/>
            <w:r>
              <w:rPr>
                <w:rStyle w:val="Gvdemetni1"/>
              </w:rPr>
              <w:t>dükkan</w:t>
            </w:r>
            <w:proofErr w:type="gramEnd"/>
            <w:r>
              <w:rPr>
                <w:rStyle w:val="Gvdemetni1"/>
              </w:rPr>
              <w:t xml:space="preserve"> vasıflı taşınmazın tamamı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FC" w:rsidRDefault="00CC58DE">
            <w:pPr>
              <w:pStyle w:val="Gvdemetni0"/>
              <w:framePr w:w="7982" w:h="989" w:wrap="none" w:vAnchor="page" w:hAnchor="page" w:x="2072" w:y="9222"/>
              <w:shd w:val="clear" w:color="auto" w:fill="auto"/>
              <w:spacing w:line="140" w:lineRule="exact"/>
              <w:ind w:right="540" w:firstLine="0"/>
              <w:jc w:val="right"/>
            </w:pPr>
            <w:r>
              <w:rPr>
                <w:rStyle w:val="Gvdemetni1"/>
              </w:rPr>
              <w:t>60.000,00-TL,</w:t>
            </w:r>
          </w:p>
        </w:tc>
      </w:tr>
    </w:tbl>
    <w:p w:rsidR="00B63CFC" w:rsidRDefault="00CC58DE">
      <w:pPr>
        <w:pStyle w:val="Gvdemetni0"/>
        <w:framePr w:w="8054" w:h="3566" w:hRule="exact" w:wrap="none" w:vAnchor="page" w:hAnchor="page" w:x="2067" w:y="10318"/>
        <w:shd w:val="clear" w:color="auto" w:fill="auto"/>
        <w:ind w:left="240"/>
      </w:pPr>
      <w:r>
        <w:t xml:space="preserve">Yukarıda özellikleri yazılı taşınmaz bir borç nedeni ile açık arttırma </w:t>
      </w:r>
      <w:r>
        <w:t>suretiyle satılacaktır.</w:t>
      </w:r>
    </w:p>
    <w:p w:rsidR="00B63CFC" w:rsidRDefault="00CC58DE">
      <w:pPr>
        <w:pStyle w:val="Gvdemetni30"/>
        <w:framePr w:w="8054" w:h="3566" w:hRule="exact" w:wrap="none" w:vAnchor="page" w:hAnchor="page" w:x="2067" w:y="10318"/>
        <w:shd w:val="clear" w:color="auto" w:fill="auto"/>
        <w:ind w:left="240"/>
      </w:pPr>
      <w:r>
        <w:t>SATIŞ ŞARTLARI:</w:t>
      </w:r>
    </w:p>
    <w:p w:rsidR="00B63CFC" w:rsidRDefault="00CC58DE">
      <w:pPr>
        <w:pStyle w:val="Gvdemetni0"/>
        <w:framePr w:w="8054" w:h="3566" w:hRule="exact" w:wrap="none" w:vAnchor="page" w:hAnchor="page" w:x="2067" w:y="10318"/>
        <w:numPr>
          <w:ilvl w:val="0"/>
          <w:numId w:val="3"/>
        </w:numPr>
        <w:shd w:val="clear" w:color="auto" w:fill="auto"/>
        <w:tabs>
          <w:tab w:val="left" w:pos="231"/>
        </w:tabs>
        <w:ind w:left="240" w:right="140"/>
      </w:pPr>
      <w:r>
        <w:rPr>
          <w:rStyle w:val="GvdemetniKaln0ptbolukbraklyor"/>
        </w:rPr>
        <w:t xml:space="preserve">Satış 19.11.2012 günü yukarıda belirtilen saatlerde KÜÇÜKÇEKMECE 3.İCRA DAİRESİNDE </w:t>
      </w:r>
      <w:r>
        <w:t>açık artırma suretiyle yapılacak % 60’ını ve rüçhanlı alacaklılar varsa alacakları toplamını ve satış giderlerini geçmek şartı ile ih</w:t>
      </w:r>
      <w:r>
        <w:t xml:space="preserve">ale olunur. Böyle bir bedelle al baki kalmak şartı ile </w:t>
      </w:r>
      <w:r>
        <w:rPr>
          <w:rStyle w:val="GvdemetniKaln0ptbolukbraklyor"/>
        </w:rPr>
        <w:t xml:space="preserve">29.11.2012 günü aynı yer ve saatlerde ikinci arttırmaya çıkarılacaktır. </w:t>
      </w:r>
      <w:r>
        <w:t xml:space="preserve">Bu arttırmada rüçhanlı </w:t>
      </w:r>
      <w:proofErr w:type="spellStart"/>
      <w:r>
        <w:t>alacaklıh</w:t>
      </w:r>
      <w:proofErr w:type="spellEnd"/>
      <w:r>
        <w:t xml:space="preserve"> şartıyla en çok artırana ihale olunur. Şu kadarki, arttırma bedelinin malın tahmin edilen kıymet</w:t>
      </w:r>
      <w:r>
        <w:t>inin % 40’ını bulması ve satış iste toplamından fazla olması ve bundan başka, paraya çevirme ve paylaştırma masraflarını geçmesi lazımdır. Böyle fazla bedelle</w:t>
      </w:r>
    </w:p>
    <w:p w:rsidR="00B63CFC" w:rsidRDefault="00CC58DE">
      <w:pPr>
        <w:pStyle w:val="Gvdemetni0"/>
        <w:framePr w:w="8054" w:h="3566" w:hRule="exact" w:wrap="none" w:vAnchor="page" w:hAnchor="page" w:x="2067" w:y="10318"/>
        <w:numPr>
          <w:ilvl w:val="0"/>
          <w:numId w:val="3"/>
        </w:numPr>
        <w:shd w:val="clear" w:color="auto" w:fill="auto"/>
        <w:tabs>
          <w:tab w:val="left" w:pos="246"/>
        </w:tabs>
        <w:ind w:left="240" w:right="140"/>
      </w:pPr>
      <w:r>
        <w:t xml:space="preserve">Arttırmaya iştirak edeceklerin, tahmin edilen kıymetin % 20’si </w:t>
      </w:r>
      <w:proofErr w:type="spellStart"/>
      <w:r>
        <w:t>nisbetinde</w:t>
      </w:r>
      <w:proofErr w:type="spellEnd"/>
      <w:r>
        <w:t xml:space="preserve"> pey akçesi veya bu mikt</w:t>
      </w:r>
      <w:r>
        <w:t xml:space="preserve">ar kadar milli bir bankanın Satış peşin para iledir, alıcı istediğinde 10 günü geçmemek üzere mehil verilebilir. KDV, damga vergisi, 1/2 tapu harcı ve m, alıcısına aittir. </w:t>
      </w:r>
      <w:proofErr w:type="gramStart"/>
      <w:r>
        <w:t>Tellaliye</w:t>
      </w:r>
      <w:proofErr w:type="gramEnd"/>
      <w:r>
        <w:t xml:space="preserve"> harcı ve birikmiş vergiler satış bedelinden ödenir.</w:t>
      </w:r>
    </w:p>
    <w:p w:rsidR="00B63CFC" w:rsidRDefault="00CC58DE">
      <w:pPr>
        <w:pStyle w:val="Gvdemetni0"/>
        <w:framePr w:w="8054" w:h="3566" w:hRule="exact" w:wrap="none" w:vAnchor="page" w:hAnchor="page" w:x="2067" w:y="10318"/>
        <w:numPr>
          <w:ilvl w:val="0"/>
          <w:numId w:val="3"/>
        </w:numPr>
        <w:shd w:val="clear" w:color="auto" w:fill="auto"/>
        <w:tabs>
          <w:tab w:val="left" w:pos="260"/>
        </w:tabs>
        <w:ind w:left="240" w:right="140"/>
      </w:pPr>
      <w:proofErr w:type="gramStart"/>
      <w:r>
        <w:t>ipotek</w:t>
      </w:r>
      <w:proofErr w:type="gramEnd"/>
      <w:r>
        <w:t xml:space="preserve"> sahibi </w:t>
      </w:r>
      <w:r>
        <w:t>alacaklılarla diğer ilgililerin (*) bu taşınmaz üzerindeki haklarını özellikle faiz ve giderlere dair olan iddialarını dairemize bildirmeleri lazımdır. Aksi takdirde hakları tapu sicil ile sabit olmadıkça paylaşmadan hariç bırakılacaktır.</w:t>
      </w:r>
    </w:p>
    <w:p w:rsidR="00B63CFC" w:rsidRDefault="00CC58DE">
      <w:pPr>
        <w:pStyle w:val="Gvdemetni0"/>
        <w:framePr w:w="8054" w:h="3566" w:hRule="exact" w:wrap="none" w:vAnchor="page" w:hAnchor="page" w:x="2067" w:y="10318"/>
        <w:numPr>
          <w:ilvl w:val="0"/>
          <w:numId w:val="3"/>
        </w:numPr>
        <w:shd w:val="clear" w:color="auto" w:fill="auto"/>
        <w:tabs>
          <w:tab w:val="left" w:pos="260"/>
        </w:tabs>
        <w:ind w:left="240" w:right="140"/>
      </w:pPr>
      <w:proofErr w:type="gramStart"/>
      <w:r>
        <w:t>ihaleye</w:t>
      </w:r>
      <w:proofErr w:type="gramEnd"/>
      <w:r>
        <w:t xml:space="preserve"> katılıp d</w:t>
      </w:r>
      <w:r>
        <w:t xml:space="preserve">aha sonra ihale bedelini yatırmamak sureti ile ihalenin feshine sebep olan tüm alıcılar ve kefilleri teklif </w:t>
      </w:r>
      <w:proofErr w:type="spellStart"/>
      <w:r>
        <w:t>ettikl</w:t>
      </w:r>
      <w:proofErr w:type="spellEnd"/>
      <w:r>
        <w:t xml:space="preserve"> farktan ve diğer zararlardan ve ayrıca temerrüt faizinden </w:t>
      </w:r>
      <w:proofErr w:type="spellStart"/>
      <w:r>
        <w:t>müteselsilen</w:t>
      </w:r>
      <w:proofErr w:type="spellEnd"/>
      <w:r>
        <w:t xml:space="preserve"> mesul olacaklardır, ihale farkı ve temerrüt faizi ayrıca </w:t>
      </w:r>
      <w:proofErr w:type="spellStart"/>
      <w:r>
        <w:t>hükı</w:t>
      </w:r>
      <w:proofErr w:type="spellEnd"/>
      <w:r>
        <w:t xml:space="preserve"> olunacak</w:t>
      </w:r>
      <w:r>
        <w:t>, bu fark, varsa öncelikle teminat bedelinden alınacaktır.</w:t>
      </w:r>
    </w:p>
    <w:p w:rsidR="00B63CFC" w:rsidRDefault="00CC58DE">
      <w:pPr>
        <w:pStyle w:val="Gvdemetni0"/>
        <w:framePr w:w="8054" w:h="3566" w:hRule="exact" w:wrap="none" w:vAnchor="page" w:hAnchor="page" w:x="2067" w:y="10318"/>
        <w:numPr>
          <w:ilvl w:val="0"/>
          <w:numId w:val="3"/>
        </w:numPr>
        <w:shd w:val="clear" w:color="auto" w:fill="auto"/>
        <w:tabs>
          <w:tab w:val="left" w:pos="246"/>
        </w:tabs>
        <w:ind w:left="240"/>
      </w:pPr>
      <w:r>
        <w:t>Şartname, ilan tarihinden itibaren herkesin görebilmesi için dairede açık olup gideri verildiği takdirde isteyen alıcıya bir örneği</w:t>
      </w:r>
    </w:p>
    <w:p w:rsidR="00B63CFC" w:rsidRDefault="00CC58DE">
      <w:pPr>
        <w:pStyle w:val="Gvdemetni0"/>
        <w:framePr w:w="8054" w:h="3566" w:hRule="exact" w:wrap="none" w:vAnchor="page" w:hAnchor="page" w:x="2067" w:y="10318"/>
        <w:numPr>
          <w:ilvl w:val="0"/>
          <w:numId w:val="3"/>
        </w:numPr>
        <w:shd w:val="clear" w:color="auto" w:fill="auto"/>
        <w:tabs>
          <w:tab w:val="left" w:pos="246"/>
        </w:tabs>
        <w:ind w:left="240" w:right="140"/>
      </w:pPr>
      <w:r>
        <w:t xml:space="preserve">Satışa iştirak edenleri şartnameyi görmüş ve münderecatını kabul </w:t>
      </w:r>
      <w:r>
        <w:t xml:space="preserve">etmiş sayılacakları, başkaca bilgi almak isteyenlerin </w:t>
      </w:r>
      <w:r>
        <w:rPr>
          <w:rStyle w:val="GvdemetniKaln0ptbolukbraklyor"/>
        </w:rPr>
        <w:t xml:space="preserve">201 </w:t>
      </w:r>
      <w:r>
        <w:t>Müdürlüğümüze başvurmaları, işbu ilanın tebligat yapılamayan ilgililere tebliğ yerine kaim olacağı ilan olunur. 28/09/2012 C (</w:t>
      </w:r>
      <w:proofErr w:type="spellStart"/>
      <w:proofErr w:type="gramStart"/>
      <w:r>
        <w:t>lc</w:t>
      </w:r>
      <w:proofErr w:type="spellEnd"/>
      <w:r>
        <w:t>.</w:t>
      </w:r>
      <w:proofErr w:type="spellStart"/>
      <w:r>
        <w:t>lf</w:t>
      </w:r>
      <w:proofErr w:type="spellEnd"/>
      <w:proofErr w:type="gramEnd"/>
      <w:r>
        <w:t>.K.126) (*) İlgililer tabirine irtifak hakkı sahipleri de dahildir.</w:t>
      </w:r>
      <w:r>
        <w:t xml:space="preserve"> Yönetmelik Örnek No.27</w:t>
      </w:r>
    </w:p>
    <w:p w:rsidR="00B63CFC" w:rsidRDefault="00CC58DE">
      <w:pPr>
        <w:pStyle w:val="Gvdemetni30"/>
        <w:framePr w:w="8054" w:h="3566" w:hRule="exact" w:wrap="none" w:vAnchor="page" w:hAnchor="page" w:x="2067" w:y="10318"/>
        <w:shd w:val="clear" w:color="auto" w:fill="auto"/>
        <w:tabs>
          <w:tab w:val="left" w:leader="underscore" w:pos="250"/>
          <w:tab w:val="left" w:leader="underscore" w:pos="4214"/>
        </w:tabs>
        <w:spacing w:line="140" w:lineRule="exact"/>
        <w:ind w:right="140" w:firstLine="0"/>
        <w:jc w:val="right"/>
      </w:pPr>
      <w:r>
        <w:tab/>
        <w:t xml:space="preserve"> Resmi ilanlar www.il</w:t>
      </w:r>
      <w:r>
        <w:rPr>
          <w:rStyle w:val="Gvdemetni31"/>
          <w:b/>
          <w:bCs/>
        </w:rPr>
        <w:t>an.gov.</w:t>
      </w:r>
      <w:proofErr w:type="spellStart"/>
      <w:r>
        <w:rPr>
          <w:rStyle w:val="Gvdemetni31"/>
          <w:b/>
          <w:bCs/>
        </w:rPr>
        <w:t>tr'de</w:t>
      </w:r>
      <w:proofErr w:type="spellEnd"/>
      <w:r>
        <w:tab/>
      </w:r>
    </w:p>
    <w:p w:rsidR="00B63CFC" w:rsidRDefault="00B63CFC">
      <w:pPr>
        <w:rPr>
          <w:sz w:val="2"/>
          <w:szCs w:val="2"/>
        </w:rPr>
      </w:pPr>
    </w:p>
    <w:sectPr w:rsidR="00B63CFC" w:rsidSect="00B63CFC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DE" w:rsidRDefault="00CC58DE" w:rsidP="00B63CFC">
      <w:r>
        <w:separator/>
      </w:r>
    </w:p>
  </w:endnote>
  <w:endnote w:type="continuationSeparator" w:id="0">
    <w:p w:rsidR="00CC58DE" w:rsidRDefault="00CC58DE" w:rsidP="00B6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DE" w:rsidRDefault="00CC58DE"/>
  </w:footnote>
  <w:footnote w:type="continuationSeparator" w:id="0">
    <w:p w:rsidR="00CC58DE" w:rsidRDefault="00CC58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17A7"/>
    <w:multiLevelType w:val="multilevel"/>
    <w:tmpl w:val="4D180046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41038E"/>
    <w:multiLevelType w:val="multilevel"/>
    <w:tmpl w:val="30883D06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AC6C0E"/>
    <w:multiLevelType w:val="multilevel"/>
    <w:tmpl w:val="F36893CC"/>
    <w:lvl w:ilvl="0">
      <w:start w:val="2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63CFC"/>
    <w:rsid w:val="00B63CFC"/>
    <w:rsid w:val="00CC58DE"/>
    <w:rsid w:val="00ED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3CF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63CFC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B63CF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Balk1">
    <w:name w:val="Başlık #1_"/>
    <w:basedOn w:val="VarsaylanParagrafYazTipi"/>
    <w:link w:val="Balk10"/>
    <w:rsid w:val="00B63CFC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32"/>
      <w:szCs w:val="32"/>
      <w:u w:val="none"/>
    </w:rPr>
  </w:style>
  <w:style w:type="character" w:customStyle="1" w:styleId="Balk2">
    <w:name w:val="Başlık #2_"/>
    <w:basedOn w:val="VarsaylanParagrafYazTipi"/>
    <w:link w:val="Balk20"/>
    <w:rsid w:val="00B63CFC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sid w:val="00B63CF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B63CFC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B63CFC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B63CFC"/>
    <w:rPr>
      <w:color w:val="00000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B63CFC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31">
    <w:name w:val="Gövde metni (3)"/>
    <w:basedOn w:val="Gvdemetni3"/>
    <w:rsid w:val="00B63CFC"/>
    <w:rPr>
      <w:color w:val="000000"/>
      <w:spacing w:val="0"/>
      <w:w w:val="100"/>
      <w:position w:val="0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B63CFC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49"/>
      <w:szCs w:val="49"/>
    </w:rPr>
  </w:style>
  <w:style w:type="paragraph" w:customStyle="1" w:styleId="Balk10">
    <w:name w:val="Başlık #1"/>
    <w:basedOn w:val="Normal"/>
    <w:link w:val="Balk1"/>
    <w:rsid w:val="00B63CFC"/>
    <w:pPr>
      <w:shd w:val="clear" w:color="auto" w:fill="FFFFFF"/>
      <w:spacing w:before="120" w:after="120" w:line="0" w:lineRule="atLeast"/>
      <w:outlineLvl w:val="0"/>
    </w:pPr>
    <w:rPr>
      <w:rFonts w:ascii="Calibri" w:eastAsia="Calibri" w:hAnsi="Calibri" w:cs="Calibri"/>
      <w:b/>
      <w:bCs/>
      <w:spacing w:val="-4"/>
      <w:sz w:val="32"/>
      <w:szCs w:val="32"/>
    </w:rPr>
  </w:style>
  <w:style w:type="paragraph" w:customStyle="1" w:styleId="Balk20">
    <w:name w:val="Başlık #2"/>
    <w:basedOn w:val="Normal"/>
    <w:link w:val="Balk2"/>
    <w:rsid w:val="00B63CFC"/>
    <w:pPr>
      <w:shd w:val="clear" w:color="auto" w:fill="FFFFFF"/>
      <w:spacing w:before="120" w:line="0" w:lineRule="atLeast"/>
      <w:outlineLvl w:val="1"/>
    </w:pPr>
    <w:rPr>
      <w:rFonts w:ascii="Calibri" w:eastAsia="Calibri" w:hAnsi="Calibri" w:cs="Calibri"/>
      <w:b/>
      <w:bCs/>
      <w:spacing w:val="-1"/>
      <w:sz w:val="19"/>
      <w:szCs w:val="19"/>
    </w:rPr>
  </w:style>
  <w:style w:type="paragraph" w:customStyle="1" w:styleId="Gvdemetni0">
    <w:name w:val="Gövde metni"/>
    <w:basedOn w:val="Normal"/>
    <w:link w:val="Gvdemetni"/>
    <w:rsid w:val="00B63CFC"/>
    <w:pPr>
      <w:shd w:val="clear" w:color="auto" w:fill="FFFFFF"/>
      <w:spacing w:line="168" w:lineRule="exact"/>
      <w:ind w:hanging="220"/>
      <w:jc w:val="both"/>
    </w:pPr>
    <w:rPr>
      <w:rFonts w:ascii="Calibri" w:eastAsia="Calibri" w:hAnsi="Calibri" w:cs="Calibri"/>
      <w:spacing w:val="-2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B63CFC"/>
    <w:pPr>
      <w:shd w:val="clear" w:color="auto" w:fill="FFFFFF"/>
      <w:spacing w:line="168" w:lineRule="exact"/>
      <w:ind w:hanging="220"/>
      <w:jc w:val="both"/>
    </w:pPr>
    <w:rPr>
      <w:rFonts w:ascii="Calibri" w:eastAsia="Calibri" w:hAnsi="Calibri" w:cs="Calibri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2012-10-05T06:21:00Z</dcterms:created>
  <dcterms:modified xsi:type="dcterms:W3CDTF">2012-10-05T06:22:00Z</dcterms:modified>
</cp:coreProperties>
</file>