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B1" w:rsidRDefault="00D12479">
      <w:pPr>
        <w:pStyle w:val="Balk10"/>
        <w:keepNext/>
        <w:keepLines/>
        <w:shd w:val="clear" w:color="auto" w:fill="000000"/>
        <w:spacing w:line="230" w:lineRule="exact"/>
        <w:ind w:left="140"/>
      </w:pPr>
      <w:bookmarkStart w:id="0" w:name="bookmark0"/>
      <w:r>
        <w:rPr>
          <w:rStyle w:val="Balk11"/>
          <w:b/>
          <w:bCs/>
        </w:rPr>
        <w:t>FOÇA BELEDİYE BAŞKANLIĞI NDAN İHALE İLANI</w:t>
      </w:r>
      <w:bookmarkEnd w:id="0"/>
    </w:p>
    <w:p w:rsidR="00C36EB1" w:rsidRDefault="00D12479">
      <w:pPr>
        <w:pStyle w:val="Gvdemetni0"/>
        <w:numPr>
          <w:ilvl w:val="0"/>
          <w:numId w:val="1"/>
        </w:numPr>
        <w:shd w:val="clear" w:color="auto" w:fill="auto"/>
        <w:tabs>
          <w:tab w:val="left" w:pos="933"/>
        </w:tabs>
        <w:ind w:left="40" w:right="220" w:firstLine="720"/>
      </w:pPr>
      <w:proofErr w:type="gramStart"/>
      <w:r>
        <w:t xml:space="preserve">Mülkiyeti Foça Belediyesi'ne ait İzmir ili, Foça ilçesi, </w:t>
      </w:r>
      <w:proofErr w:type="spellStart"/>
      <w:r>
        <w:t>Kavakiçi</w:t>
      </w:r>
      <w:proofErr w:type="spellEnd"/>
      <w:r>
        <w:t xml:space="preserve"> Mevkii 28/1 pafta, 1746 ada, J parselde bulunan Turistik Tesis Alanı imarlı arsa, ihale şartnamesi ve sözleşmede belirtilen şartlarla, üzerinde turizm amaçlı Turistik Konaklama Tesisi (350 Yataklı, 4 yıldızlı otel) yapılmak üzere, yatırım gerçekleştirilerek ve Turizm Yatırım Belgesi / Turizm İşletmesi Belgesi alınarak işletilmek üzere, 2886 sayılı Devlet </w:t>
      </w:r>
      <w:proofErr w:type="spellStart"/>
      <w:r>
        <w:t>thale</w:t>
      </w:r>
      <w:proofErr w:type="spellEnd"/>
      <w:r>
        <w:t xml:space="preserve"> Kanunu hükümlerine uygun olarak, Kanun'un 35. maddesinin (a) fıkrası uyarınca kapalı teklif usulü ile yerli ve/veya yabancı girişimcilere 49 yıllığına kiraya verilmek üzere ihaleye çıkarılmıştır.</w:t>
      </w:r>
      <w:proofErr w:type="gramEnd"/>
    </w:p>
    <w:p w:rsidR="00C36EB1" w:rsidRDefault="00D12479">
      <w:pPr>
        <w:pStyle w:val="Balk20"/>
        <w:keepNext/>
        <w:keepLines/>
        <w:numPr>
          <w:ilvl w:val="0"/>
          <w:numId w:val="1"/>
        </w:numPr>
        <w:shd w:val="clear" w:color="auto" w:fill="auto"/>
        <w:tabs>
          <w:tab w:val="left" w:pos="938"/>
        </w:tabs>
        <w:ind w:left="40"/>
      </w:pPr>
      <w:bookmarkStart w:id="1" w:name="bookmark1"/>
      <w:r>
        <w:t xml:space="preserve">Tahmin Edilen Yatırım Bedeli: </w:t>
      </w:r>
      <w:r>
        <w:rPr>
          <w:rStyle w:val="Balk2KalnDeil"/>
        </w:rPr>
        <w:t>20.881.000,00-TL</w:t>
      </w:r>
      <w:bookmarkEnd w:id="1"/>
    </w:p>
    <w:p w:rsidR="00C36EB1" w:rsidRDefault="00D12479">
      <w:pPr>
        <w:pStyle w:val="Balk220"/>
        <w:keepNext/>
        <w:keepLines/>
        <w:numPr>
          <w:ilvl w:val="0"/>
          <w:numId w:val="1"/>
        </w:numPr>
        <w:shd w:val="clear" w:color="auto" w:fill="auto"/>
        <w:tabs>
          <w:tab w:val="left" w:pos="933"/>
        </w:tabs>
        <w:ind w:left="40"/>
      </w:pPr>
      <w:bookmarkStart w:id="2" w:name="bookmark2"/>
      <w:r>
        <w:rPr>
          <w:rStyle w:val="Balk22Kaln"/>
        </w:rPr>
        <w:t xml:space="preserve">Muhammen Kira </w:t>
      </w:r>
      <w:proofErr w:type="gramStart"/>
      <w:r>
        <w:rPr>
          <w:rStyle w:val="Balk22Kaln"/>
        </w:rPr>
        <w:t xml:space="preserve">Bedeli </w:t>
      </w:r>
      <w:r>
        <w:t>: 104</w:t>
      </w:r>
      <w:proofErr w:type="gramEnd"/>
      <w:r>
        <w:t>.405,00-TL (Yıllık)</w:t>
      </w:r>
      <w:bookmarkEnd w:id="2"/>
    </w:p>
    <w:p w:rsidR="00C36EB1" w:rsidRDefault="00D12479">
      <w:pPr>
        <w:pStyle w:val="Balk20"/>
        <w:keepNext/>
        <w:keepLines/>
        <w:numPr>
          <w:ilvl w:val="0"/>
          <w:numId w:val="1"/>
        </w:numPr>
        <w:shd w:val="clear" w:color="auto" w:fill="auto"/>
        <w:tabs>
          <w:tab w:val="left" w:pos="933"/>
          <w:tab w:val="left" w:pos="2963"/>
        </w:tabs>
        <w:ind w:left="40"/>
      </w:pPr>
      <w:bookmarkStart w:id="3" w:name="bookmark3"/>
      <w:r>
        <w:t>Kiralama Süresi</w:t>
      </w:r>
      <w:r>
        <w:tab/>
        <w:t xml:space="preserve">: </w:t>
      </w:r>
      <w:r>
        <w:rPr>
          <w:rStyle w:val="Balk2KalnDeil"/>
        </w:rPr>
        <w:t>49 Yıl</w:t>
      </w:r>
      <w:bookmarkEnd w:id="3"/>
    </w:p>
    <w:p w:rsidR="00C36EB1" w:rsidRDefault="00D12479">
      <w:pPr>
        <w:pStyle w:val="Gvdemetni0"/>
        <w:numPr>
          <w:ilvl w:val="0"/>
          <w:numId w:val="1"/>
        </w:numPr>
        <w:shd w:val="clear" w:color="auto" w:fill="auto"/>
        <w:tabs>
          <w:tab w:val="left" w:pos="933"/>
          <w:tab w:val="left" w:pos="2963"/>
        </w:tabs>
        <w:spacing w:after="120" w:line="187" w:lineRule="exact"/>
        <w:ind w:left="40" w:right="220" w:firstLine="720"/>
      </w:pPr>
      <w:r>
        <w:rPr>
          <w:rStyle w:val="GvdemetniKaln"/>
        </w:rPr>
        <w:t>İhale Tarihi ve Yeri</w:t>
      </w:r>
      <w:r>
        <w:rPr>
          <w:rStyle w:val="GvdemetniKaln"/>
        </w:rPr>
        <w:tab/>
        <w:t xml:space="preserve">: </w:t>
      </w:r>
      <w:r>
        <w:t xml:space="preserve">İhale </w:t>
      </w:r>
      <w:proofErr w:type="gramStart"/>
      <w:r>
        <w:rPr>
          <w:rStyle w:val="GvdemetniKaln"/>
        </w:rPr>
        <w:t>07/08/2012</w:t>
      </w:r>
      <w:proofErr w:type="gramEnd"/>
      <w:r>
        <w:rPr>
          <w:rStyle w:val="GvdemetniKaln"/>
        </w:rPr>
        <w:t xml:space="preserve"> </w:t>
      </w:r>
      <w:r>
        <w:t>Salı günü, saat 14:00'de Fevzi Paşa Mahallesi 191 Sokak No:3 FOÇA adresindeki Foça Belediye Başkanlığı Hizmet Binasında toplanacak olan Belediye Encümenince yapılacaktır.</w:t>
      </w:r>
    </w:p>
    <w:p w:rsidR="00C36EB1" w:rsidRDefault="00D12479">
      <w:pPr>
        <w:pStyle w:val="Gvdemetni0"/>
        <w:numPr>
          <w:ilvl w:val="0"/>
          <w:numId w:val="1"/>
        </w:numPr>
        <w:shd w:val="clear" w:color="auto" w:fill="auto"/>
        <w:tabs>
          <w:tab w:val="left" w:pos="938"/>
        </w:tabs>
        <w:spacing w:line="187" w:lineRule="exact"/>
        <w:ind w:left="40" w:right="40" w:firstLine="720"/>
        <w:jc w:val="left"/>
      </w:pPr>
      <w:r>
        <w:rPr>
          <w:rStyle w:val="GvdemetniKaln"/>
        </w:rPr>
        <w:t xml:space="preserve">Son Teklif Verme Tarihi: </w:t>
      </w:r>
      <w:r>
        <w:t xml:space="preserve">Girişimciler </w:t>
      </w:r>
      <w:proofErr w:type="gramStart"/>
      <w:r>
        <w:t>07/08/2012</w:t>
      </w:r>
      <w:proofErr w:type="gramEnd"/>
      <w:r>
        <w:t xml:space="preserve"> Sah günü saat 14:00'e kadar istenilen bilgi ve belgeleri de içeren tekliflerini Foça Belediye Başkanlığı Yazı İşleri Müdürlüğü'ne teslim etmeleri gerekmektedir. Bu tarihten sonra yapılacak başvurular değerlendirmeye alınmayacaktır. Teklifler iadeli taahhütlü olarak da gönderilebilir. Postadaki gecikmelerden İdare sorumlu değildir. Foça Belediye Başkanlığı Yazı işleri Müdürlüğü'ne verilen teklifler herhangi bir sebeple geri alınamaz.</w:t>
      </w:r>
    </w:p>
    <w:p w:rsidR="00C36EB1" w:rsidRDefault="00D12479">
      <w:pPr>
        <w:pStyle w:val="Gvdemetni0"/>
        <w:numPr>
          <w:ilvl w:val="0"/>
          <w:numId w:val="1"/>
        </w:numPr>
        <w:shd w:val="clear" w:color="auto" w:fill="auto"/>
        <w:tabs>
          <w:tab w:val="left" w:pos="933"/>
        </w:tabs>
        <w:spacing w:line="187" w:lineRule="exact"/>
        <w:ind w:left="40" w:right="40" w:firstLine="720"/>
        <w:jc w:val="left"/>
      </w:pPr>
      <w:r>
        <w:rPr>
          <w:rStyle w:val="GvdemetniKaln"/>
        </w:rPr>
        <w:t xml:space="preserve">Teklif ve Belgelerin Dili: </w:t>
      </w:r>
      <w:r>
        <w:t xml:space="preserve">Girişimcilerin vereceği tüm bilgi, belge ve teklifin dili Türkçe olacaktır. Tüm bilgi ve belgeler, Türkçe tercümelerinin ilgili ülkelerdeki Konsolosluklarımıza veya Türkiye'deki kendi konsolosluklarına </w:t>
      </w:r>
      <w:proofErr w:type="spellStart"/>
      <w:r>
        <w:t>onaylattınlması</w:t>
      </w:r>
      <w:proofErr w:type="spellEnd"/>
      <w:r>
        <w:t xml:space="preserve"> </w:t>
      </w:r>
      <w:proofErr w:type="spellStart"/>
      <w:r>
        <w:t>kcışuluyla</w:t>
      </w:r>
      <w:proofErr w:type="spellEnd"/>
      <w:r>
        <w:t xml:space="preserve"> söz konusu bilgi ve belgeler yabancı dilde verilebilir. Değerlendirmede onaylı tercüme metin esas alınacaktır.</w:t>
      </w:r>
    </w:p>
    <w:p w:rsidR="00C36EB1" w:rsidRDefault="00D12479">
      <w:pPr>
        <w:pStyle w:val="Gvdemetni0"/>
        <w:numPr>
          <w:ilvl w:val="0"/>
          <w:numId w:val="1"/>
        </w:numPr>
        <w:shd w:val="clear" w:color="auto" w:fill="auto"/>
        <w:tabs>
          <w:tab w:val="left" w:pos="933"/>
        </w:tabs>
        <w:spacing w:line="187" w:lineRule="exact"/>
        <w:ind w:left="40" w:right="40" w:firstLine="720"/>
        <w:jc w:val="left"/>
      </w:pPr>
      <w:r>
        <w:rPr>
          <w:rStyle w:val="GvdemetniKaln"/>
        </w:rPr>
        <w:t xml:space="preserve">Tekliflerin </w:t>
      </w:r>
      <w:proofErr w:type="gramStart"/>
      <w:r>
        <w:rPr>
          <w:rStyle w:val="GvdemetniKaln"/>
        </w:rPr>
        <w:t xml:space="preserve">Şekli : </w:t>
      </w:r>
      <w:r>
        <w:t>İhale</w:t>
      </w:r>
      <w:proofErr w:type="gramEnd"/>
      <w:r>
        <w:t xml:space="preserve"> kapalı teklif usulüyle yapılacak olup, taşınmazın yıllık kira bedelinin İdarece belirlenen ve ihale şartnamesinde belirtilen muhammen kira bedeli üzerinden artırımı suretiyle yapılacaktır.</w:t>
      </w:r>
    </w:p>
    <w:p w:rsidR="00C36EB1" w:rsidRDefault="00D12479">
      <w:pPr>
        <w:pStyle w:val="Gvdemetni0"/>
        <w:numPr>
          <w:ilvl w:val="0"/>
          <w:numId w:val="1"/>
        </w:numPr>
        <w:shd w:val="clear" w:color="auto" w:fill="auto"/>
        <w:tabs>
          <w:tab w:val="left" w:pos="933"/>
        </w:tabs>
        <w:spacing w:line="187" w:lineRule="exact"/>
        <w:ind w:left="40" w:right="40" w:firstLine="720"/>
        <w:jc w:val="left"/>
      </w:pPr>
      <w:proofErr w:type="gramStart"/>
      <w:r>
        <w:rPr>
          <w:rStyle w:val="GvdemetniKaln"/>
        </w:rPr>
        <w:t xml:space="preserve">İhale Dokümanının Görülmesi ve Satın Alınması: </w:t>
      </w:r>
      <w:r>
        <w:t xml:space="preserve">Taleplerin değerlendirilebilmesi için ilan edilen parsellere ilişkin ayrıntılı açıklama ve bilgiyi içeren Turistik Konaklama Tesisi Yapımı Karşılığında Turistik Konaklama Tesisi Yerinin Uzun Süreli Kiralanması İşi İhale Şartnamesi Fevzi Paşa Mahallesi 191 Sokak No:3 FOÇA adresinde bulunan Foça Belediyesi Yazı İşleri Müdürlüğü adresinde görülebilir ve aynı adresten 500,00- TL (Beş Yüz Türk Lirası) ücret karşılığı temin edilebilir. </w:t>
      </w:r>
      <w:proofErr w:type="gramEnd"/>
      <w:r>
        <w:t>Şartname ücreti Foça Belediye Başkanlığı Veznesine yatırılabilir.</w:t>
      </w:r>
    </w:p>
    <w:p w:rsidR="00C36EB1" w:rsidRDefault="00D12479">
      <w:pPr>
        <w:pStyle w:val="Balk20"/>
        <w:keepNext/>
        <w:keepLines/>
        <w:numPr>
          <w:ilvl w:val="0"/>
          <w:numId w:val="1"/>
        </w:numPr>
        <w:shd w:val="clear" w:color="auto" w:fill="auto"/>
        <w:tabs>
          <w:tab w:val="left" w:pos="1005"/>
        </w:tabs>
        <w:spacing w:line="187" w:lineRule="exact"/>
        <w:ind w:left="40"/>
      </w:pPr>
      <w:bookmarkStart w:id="4" w:name="bookmark4"/>
      <w:r>
        <w:t>Girişimcilerin İhaleye Katılabilmek İçin Vermek Zorunda Olduğu Belgeler.</w:t>
      </w:r>
      <w:bookmarkEnd w:id="4"/>
    </w:p>
    <w:p w:rsidR="00C36EB1" w:rsidRDefault="00D12479">
      <w:pPr>
        <w:pStyle w:val="Gvdemetni0"/>
        <w:numPr>
          <w:ilvl w:val="0"/>
          <w:numId w:val="2"/>
        </w:numPr>
        <w:shd w:val="clear" w:color="auto" w:fill="auto"/>
        <w:tabs>
          <w:tab w:val="left" w:pos="938"/>
        </w:tabs>
        <w:spacing w:line="187" w:lineRule="exact"/>
        <w:ind w:left="40" w:firstLine="720"/>
      </w:pPr>
      <w:r>
        <w:t>Şekli ve İçeriği İhale Şartnamesi ekinde bulunan dilekçe</w:t>
      </w:r>
    </w:p>
    <w:p w:rsidR="00C36EB1" w:rsidRDefault="00D12479">
      <w:pPr>
        <w:pStyle w:val="Gvdemetni0"/>
        <w:numPr>
          <w:ilvl w:val="0"/>
          <w:numId w:val="2"/>
        </w:numPr>
        <w:shd w:val="clear" w:color="auto" w:fill="auto"/>
        <w:tabs>
          <w:tab w:val="left" w:pos="947"/>
        </w:tabs>
        <w:spacing w:line="187" w:lineRule="exact"/>
        <w:ind w:left="40" w:right="400" w:firstLine="720"/>
        <w:jc w:val="left"/>
      </w:pPr>
      <w:r>
        <w:t>Şekli ve içeriği ihale şartnamesi ekinde bulunan Girişimci Beyannamesi ve Girişimci bilgi formu.(İhale edilen taşınmaz ve üzerinde gerçekleştirilmesi planlanan tesise ilişkin bilgiler eksiksiz olarak belirtilecektir.)</w:t>
      </w:r>
    </w:p>
    <w:p w:rsidR="00C36EB1" w:rsidRDefault="00D12479">
      <w:pPr>
        <w:pStyle w:val="Gvdemetni0"/>
        <w:numPr>
          <w:ilvl w:val="0"/>
          <w:numId w:val="2"/>
        </w:numPr>
        <w:shd w:val="clear" w:color="auto" w:fill="auto"/>
        <w:tabs>
          <w:tab w:val="left" w:pos="923"/>
        </w:tabs>
        <w:spacing w:line="187" w:lineRule="exact"/>
        <w:ind w:left="40" w:right="40" w:firstLine="720"/>
        <w:jc w:val="left"/>
      </w:pPr>
      <w:proofErr w:type="gramStart"/>
      <w:r>
        <w:t>İkametgah</w:t>
      </w:r>
      <w:proofErr w:type="gramEnd"/>
      <w:r>
        <w:t xml:space="preserve"> Belgesi. (Girişimcilerin Türkiye'de tebligat için adres göstermesi gerekmektedir.)</w:t>
      </w:r>
    </w:p>
    <w:p w:rsidR="00C36EB1" w:rsidRDefault="00D12479">
      <w:pPr>
        <w:pStyle w:val="Gvdemetni0"/>
        <w:numPr>
          <w:ilvl w:val="0"/>
          <w:numId w:val="2"/>
        </w:numPr>
        <w:shd w:val="clear" w:color="auto" w:fill="auto"/>
        <w:tabs>
          <w:tab w:val="left" w:pos="938"/>
        </w:tabs>
        <w:spacing w:line="187" w:lineRule="exact"/>
        <w:ind w:left="40" w:right="40" w:firstLine="720"/>
        <w:jc w:val="left"/>
      </w:pPr>
      <w:r>
        <w:t xml:space="preserve">Tüzel kişilerin son ortaklık yapısını gösterir ticaret sicil gazetesinin aslı veya noter onaylı </w:t>
      </w:r>
      <w:proofErr w:type="spellStart"/>
      <w:r>
        <w:t>hazirun</w:t>
      </w:r>
      <w:proofErr w:type="spellEnd"/>
      <w:r>
        <w:t xml:space="preserve"> cetveli. (Girişimcinin yabancı uyruklu gerçek veya tüzel kişi olması halinde bu girişimcilerin uyruklarında bulundukları ülkenin yetkili mercilerinden alacakları tüzel kişiliğin ortaklık yapısını gösterir belge Türkiye Büyükelçiliği veya Başkonsolosluğu tarafından bulunulan ülkenin mevzuatına göre belgeyi düzenleyen kuruluşun yetkili olduğu belirtilerek onaylanan Türkçe tercümesi ile birlikte Foça Belediye Başkanlığı’na teslim edilecektir.)</w:t>
      </w:r>
    </w:p>
    <w:p w:rsidR="00C36EB1" w:rsidRDefault="00D12479">
      <w:pPr>
        <w:pStyle w:val="Gvdemetni0"/>
        <w:numPr>
          <w:ilvl w:val="0"/>
          <w:numId w:val="2"/>
        </w:numPr>
        <w:shd w:val="clear" w:color="auto" w:fill="auto"/>
        <w:tabs>
          <w:tab w:val="left" w:pos="928"/>
        </w:tabs>
        <w:spacing w:line="187" w:lineRule="exact"/>
        <w:ind w:left="40" w:right="40" w:firstLine="720"/>
        <w:jc w:val="left"/>
      </w:pPr>
      <w:r>
        <w:t>Geçici Teminat Mektubu; ihaleye konu yatırım alanlarında tesis türüne göre belirlenmiş birim maliyetler esas alınarak Toplam Yatırım Bedelinin % 10'u (yüzde on) oranında hesaplanmıştır. Geçici Teminat 2.088.100,00 - TL'dir.</w:t>
      </w:r>
    </w:p>
    <w:p w:rsidR="00C36EB1" w:rsidRDefault="00D12479">
      <w:pPr>
        <w:pStyle w:val="Gvdemetni0"/>
        <w:numPr>
          <w:ilvl w:val="0"/>
          <w:numId w:val="2"/>
        </w:numPr>
        <w:shd w:val="clear" w:color="auto" w:fill="auto"/>
        <w:tabs>
          <w:tab w:val="left" w:pos="904"/>
        </w:tabs>
        <w:spacing w:line="187" w:lineRule="exact"/>
        <w:ind w:left="40" w:right="40" w:firstLine="720"/>
        <w:jc w:val="left"/>
      </w:pPr>
      <w:r>
        <w:t xml:space="preserve">Yeminli Mali Müşavirce veya bağımsız denetim yetkisine sahip kurumlarca hazırlanacak mali değerlendirme </w:t>
      </w:r>
      <w:proofErr w:type="gramStart"/>
      <w:r>
        <w:t>raporu :Mali</w:t>
      </w:r>
      <w:proofErr w:type="gramEnd"/>
      <w:r>
        <w:t xml:space="preserve"> Değerlendirme Raporu ; gerçek kişi, tüzel kişilik veya ortak girişim olarak başvuruda bulunan girişimciler, başvuruda bulundukları yatırımı gerçekleştirebilecekleri konusundaki yeterliliklerini ifade etmek üzere; sınai ve ticari ilişkileri, turizm faaliyetleri, mal varlığı, nakit durumu (</w:t>
      </w:r>
      <w:proofErr w:type="spellStart"/>
      <w:r>
        <w:t>fınansal</w:t>
      </w:r>
      <w:proofErr w:type="spellEnd"/>
      <w:r>
        <w:t xml:space="preserve"> imkanları), vergi ödemeleri ve iştirakleriyle ilgili yatırımı gerçekleştirebilecek mali durumunu gösteren Yeminli Mali Müşavir veya bağımsız denetim yetkisine sahip kurumlarca hazırlanacak.</w:t>
      </w:r>
    </w:p>
    <w:p w:rsidR="00C36EB1" w:rsidRDefault="00D12479">
      <w:pPr>
        <w:pStyle w:val="Gvdemetni0"/>
        <w:shd w:val="clear" w:color="auto" w:fill="auto"/>
        <w:spacing w:line="187" w:lineRule="exact"/>
        <w:ind w:left="40" w:right="40"/>
        <w:jc w:val="left"/>
      </w:pPr>
      <w:proofErr w:type="gramStart"/>
      <w:r>
        <w:t>Girişimcinin yabancı uyruklu gerçek veya tüzel kişi olması halinde bu maddeye göre hazırlanacak mali değerlendirme raporu, Türkiye'de bulunan yeminli mali müşavir veya bağımsız denetim yetkisine sahip Kurumlarca hazırlanabileceği gibi; bu girişimcilerin uyruklarında bulundukları ülkenin mevzuatına göre denetim yetkisi verilen kuruluşlara hazırlattırılarak bu raporun aslı ile o ülkedeki Türkiye Büyükelçiliği veya Başkonsolosluğu tarafından bulunulan ülkenin mevzuatına göre raporu düzenleyen kuruluşun yetkili olduğu belirtilerek onaylanan Türkçe tercümesi ile birlikte Foça Belediye Başkanlığı'na teslim edilecektir.</w:t>
      </w:r>
      <w:proofErr w:type="gramEnd"/>
    </w:p>
    <w:p w:rsidR="00C36EB1" w:rsidRDefault="00D12479">
      <w:pPr>
        <w:pStyle w:val="Gvdemetni0"/>
        <w:numPr>
          <w:ilvl w:val="0"/>
          <w:numId w:val="2"/>
        </w:numPr>
        <w:shd w:val="clear" w:color="auto" w:fill="auto"/>
        <w:tabs>
          <w:tab w:val="left" w:pos="938"/>
        </w:tabs>
        <w:spacing w:line="187" w:lineRule="exact"/>
        <w:ind w:left="40" w:firstLine="720"/>
      </w:pPr>
      <w:r>
        <w:t xml:space="preserve">Şekli </w:t>
      </w:r>
      <w:proofErr w:type="spellStart"/>
      <w:r>
        <w:t>vc</w:t>
      </w:r>
      <w:proofErr w:type="spellEnd"/>
      <w:r>
        <w:t xml:space="preserve"> içeriği şartname ekinde bulunan taahhütname.</w:t>
      </w:r>
    </w:p>
    <w:p w:rsidR="00C36EB1" w:rsidRDefault="00D12479">
      <w:pPr>
        <w:pStyle w:val="Gvdemetni0"/>
        <w:numPr>
          <w:ilvl w:val="0"/>
          <w:numId w:val="2"/>
        </w:numPr>
        <w:shd w:val="clear" w:color="auto" w:fill="auto"/>
        <w:tabs>
          <w:tab w:val="left" w:pos="947"/>
        </w:tabs>
        <w:spacing w:line="187" w:lineRule="exact"/>
        <w:ind w:left="40" w:right="400" w:firstLine="720"/>
        <w:jc w:val="left"/>
      </w:pPr>
      <w:r>
        <w:t xml:space="preserve">Ortak girişim olarak başvurulması halinde, noter tasdikli iş ortaklığı veya </w:t>
      </w:r>
      <w:proofErr w:type="gramStart"/>
      <w:r>
        <w:t>konsorsiyum</w:t>
      </w:r>
      <w:proofErr w:type="gramEnd"/>
      <w:r>
        <w:t xml:space="preserve"> sözleşmesi:</w:t>
      </w:r>
    </w:p>
    <w:p w:rsidR="00C36EB1" w:rsidRDefault="00D12479">
      <w:pPr>
        <w:pStyle w:val="Gvdemetni0"/>
        <w:shd w:val="clear" w:color="auto" w:fill="auto"/>
        <w:spacing w:line="187" w:lineRule="exact"/>
        <w:ind w:left="40" w:firstLine="720"/>
      </w:pPr>
      <w:r>
        <w:t>ı) Şartnamenin Satın Alındığına Dair Dekont.</w:t>
      </w:r>
    </w:p>
    <w:p w:rsidR="00C36EB1" w:rsidRDefault="00D12479">
      <w:pPr>
        <w:pStyle w:val="Gvdemetni0"/>
        <w:numPr>
          <w:ilvl w:val="0"/>
          <w:numId w:val="2"/>
        </w:numPr>
        <w:shd w:val="clear" w:color="auto" w:fill="auto"/>
        <w:tabs>
          <w:tab w:val="left" w:pos="894"/>
        </w:tabs>
        <w:spacing w:line="187" w:lineRule="exact"/>
        <w:ind w:left="40" w:right="400" w:firstLine="720"/>
        <w:jc w:val="left"/>
      </w:pPr>
      <w:r>
        <w:t>İmzalı "Turistik Konaklama Tesisi Yapımı Karşılığı Turistik Konaklama Tesisi Yerinin Uzun Süreli Kiralanması İşi İhale Şartnamesi"</w:t>
      </w:r>
    </w:p>
    <w:p w:rsidR="00C36EB1" w:rsidRDefault="00D12479">
      <w:pPr>
        <w:pStyle w:val="Gvdemetni0"/>
        <w:shd w:val="clear" w:color="auto" w:fill="auto"/>
        <w:spacing w:line="187" w:lineRule="exact"/>
        <w:ind w:left="40" w:firstLine="720"/>
      </w:pPr>
      <w:r>
        <w:t>j) Teklif Mektubu.</w:t>
      </w:r>
    </w:p>
    <w:p w:rsidR="00C36EB1" w:rsidRDefault="00D12479">
      <w:pPr>
        <w:pStyle w:val="Gvdemetni0"/>
        <w:shd w:val="clear" w:color="auto" w:fill="auto"/>
        <w:spacing w:line="187" w:lineRule="exact"/>
        <w:ind w:left="40" w:right="40" w:firstLine="720"/>
        <w:jc w:val="left"/>
      </w:pPr>
      <w:r>
        <w:rPr>
          <w:rStyle w:val="GvdemetniKaln"/>
        </w:rPr>
        <w:t xml:space="preserve">k) </w:t>
      </w:r>
      <w:r>
        <w:t>İhaleye katılacak gerçek veya tüzel kişilerin, Kültür ve Turizm Bakanlığından verilen Turizm İşletme Belgeli, mavi bayrak belgesi bulunan en az bir tesise sahip olması ayrıca bu sektörde 5 yıl süreyle faaliyeti ve deneyimi bulunması gerekmektedir. Bu durumu gösteren belgeler teklif zarfına eklenecektir.</w:t>
      </w:r>
    </w:p>
    <w:p w:rsidR="00C36EB1" w:rsidRDefault="00D12479">
      <w:pPr>
        <w:pStyle w:val="Gvdemetni0"/>
        <w:numPr>
          <w:ilvl w:val="0"/>
          <w:numId w:val="1"/>
        </w:numPr>
        <w:shd w:val="clear" w:color="auto" w:fill="auto"/>
        <w:tabs>
          <w:tab w:val="left" w:pos="1005"/>
        </w:tabs>
        <w:spacing w:line="187" w:lineRule="exact"/>
        <w:ind w:left="40" w:right="40" w:firstLine="720"/>
        <w:jc w:val="left"/>
      </w:pPr>
      <w:r>
        <w:t>Bu duyuru kapsamında yapılacak kiralama işinde "2886 sayılı Devlet İhale Kanunu" ve " Turistik Konaklama Tesisi Yapımı Karşılığında Turistik Konaklama Tesisi Yerinin Uzun Süreli Kiralanması İşi İhale Şartnamesi" hükümleri uygulanır.</w:t>
      </w:r>
    </w:p>
    <w:p w:rsidR="00C36EB1" w:rsidRDefault="00D12479">
      <w:pPr>
        <w:pStyle w:val="Gvdemetni0"/>
        <w:shd w:val="clear" w:color="auto" w:fill="auto"/>
        <w:spacing w:line="187" w:lineRule="exact"/>
        <w:ind w:left="40"/>
        <w:jc w:val="left"/>
      </w:pPr>
      <w:r>
        <w:t>İLAN OLUNUR</w:t>
      </w:r>
    </w:p>
    <w:sectPr w:rsidR="00C36EB1" w:rsidSect="00C36EB1">
      <w:type w:val="continuous"/>
      <w:pgSz w:w="11909" w:h="16838"/>
      <w:pgMar w:top="406" w:right="2787" w:bottom="396" w:left="27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78" w:rsidRDefault="00BC4178" w:rsidP="00C36EB1">
      <w:r>
        <w:separator/>
      </w:r>
    </w:p>
  </w:endnote>
  <w:endnote w:type="continuationSeparator" w:id="0">
    <w:p w:rsidR="00BC4178" w:rsidRDefault="00BC4178" w:rsidP="00C36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78" w:rsidRDefault="00BC4178"/>
  </w:footnote>
  <w:footnote w:type="continuationSeparator" w:id="0">
    <w:p w:rsidR="00BC4178" w:rsidRDefault="00BC41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348"/>
    <w:multiLevelType w:val="multilevel"/>
    <w:tmpl w:val="178E04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20BBB"/>
    <w:multiLevelType w:val="multilevel"/>
    <w:tmpl w:val="65A4E3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36EB1"/>
    <w:rsid w:val="00071C33"/>
    <w:rsid w:val="006A060D"/>
    <w:rsid w:val="00BC4178"/>
    <w:rsid w:val="00C36EB1"/>
    <w:rsid w:val="00D12479"/>
    <w:rsid w:val="00F60A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6E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36EB1"/>
    <w:rPr>
      <w:color w:val="000080"/>
      <w:u w:val="single"/>
    </w:rPr>
  </w:style>
  <w:style w:type="character" w:customStyle="1" w:styleId="Balk1">
    <w:name w:val="Başlık #1_"/>
    <w:basedOn w:val="VarsaylanParagrafYazTipi"/>
    <w:link w:val="Balk10"/>
    <w:rsid w:val="00C36EB1"/>
    <w:rPr>
      <w:rFonts w:ascii="Times New Roman" w:eastAsia="Times New Roman" w:hAnsi="Times New Roman" w:cs="Times New Roman"/>
      <w:b/>
      <w:bCs/>
      <w:i w:val="0"/>
      <w:iCs w:val="0"/>
      <w:smallCaps w:val="0"/>
      <w:strike w:val="0"/>
      <w:spacing w:val="10"/>
      <w:sz w:val="23"/>
      <w:szCs w:val="23"/>
      <w:u w:val="none"/>
    </w:rPr>
  </w:style>
  <w:style w:type="character" w:customStyle="1" w:styleId="Balk11">
    <w:name w:val="Başlık #1"/>
    <w:basedOn w:val="Balk1"/>
    <w:rsid w:val="00C36EB1"/>
    <w:rPr>
      <w:color w:val="FFFFFF"/>
      <w:w w:val="100"/>
      <w:position w:val="0"/>
      <w:lang w:val="tr-TR"/>
    </w:rPr>
  </w:style>
  <w:style w:type="character" w:customStyle="1" w:styleId="Gvdemetni">
    <w:name w:val="Gövde metni_"/>
    <w:basedOn w:val="VarsaylanParagrafYazTipi"/>
    <w:link w:val="Gvdemetni0"/>
    <w:rsid w:val="00C36EB1"/>
    <w:rPr>
      <w:rFonts w:ascii="Times New Roman" w:eastAsia="Times New Roman" w:hAnsi="Times New Roman" w:cs="Times New Roman"/>
      <w:b w:val="0"/>
      <w:bCs w:val="0"/>
      <w:i w:val="0"/>
      <w:iCs w:val="0"/>
      <w:smallCaps w:val="0"/>
      <w:strike w:val="0"/>
      <w:sz w:val="15"/>
      <w:szCs w:val="15"/>
      <w:u w:val="none"/>
    </w:rPr>
  </w:style>
  <w:style w:type="character" w:customStyle="1" w:styleId="Balk2">
    <w:name w:val="Başlık #2_"/>
    <w:basedOn w:val="VarsaylanParagrafYazTipi"/>
    <w:link w:val="Balk20"/>
    <w:rsid w:val="00C36EB1"/>
    <w:rPr>
      <w:rFonts w:ascii="Times New Roman" w:eastAsia="Times New Roman" w:hAnsi="Times New Roman" w:cs="Times New Roman"/>
      <w:b/>
      <w:bCs/>
      <w:i w:val="0"/>
      <w:iCs w:val="0"/>
      <w:smallCaps w:val="0"/>
      <w:strike w:val="0"/>
      <w:sz w:val="15"/>
      <w:szCs w:val="15"/>
      <w:u w:val="none"/>
    </w:rPr>
  </w:style>
  <w:style w:type="character" w:customStyle="1" w:styleId="Balk2KalnDeil">
    <w:name w:val="Başlık #2 + Kalın Değil"/>
    <w:basedOn w:val="Balk2"/>
    <w:rsid w:val="00C36EB1"/>
    <w:rPr>
      <w:b/>
      <w:bCs/>
      <w:color w:val="000000"/>
      <w:spacing w:val="0"/>
      <w:w w:val="100"/>
      <w:position w:val="0"/>
      <w:lang w:val="tr-TR"/>
    </w:rPr>
  </w:style>
  <w:style w:type="character" w:customStyle="1" w:styleId="Balk22">
    <w:name w:val="Başlık #2 (2)_"/>
    <w:basedOn w:val="VarsaylanParagrafYazTipi"/>
    <w:link w:val="Balk220"/>
    <w:rsid w:val="00C36EB1"/>
    <w:rPr>
      <w:rFonts w:ascii="Times New Roman" w:eastAsia="Times New Roman" w:hAnsi="Times New Roman" w:cs="Times New Roman"/>
      <w:b w:val="0"/>
      <w:bCs w:val="0"/>
      <w:i w:val="0"/>
      <w:iCs w:val="0"/>
      <w:smallCaps w:val="0"/>
      <w:strike w:val="0"/>
      <w:sz w:val="15"/>
      <w:szCs w:val="15"/>
      <w:u w:val="none"/>
    </w:rPr>
  </w:style>
  <w:style w:type="character" w:customStyle="1" w:styleId="Balk22Kaln">
    <w:name w:val="Başlık #2 (2) + Kalın"/>
    <w:basedOn w:val="Balk22"/>
    <w:rsid w:val="00C36EB1"/>
    <w:rPr>
      <w:b/>
      <w:bCs/>
      <w:color w:val="000000"/>
      <w:spacing w:val="0"/>
      <w:w w:val="100"/>
      <w:position w:val="0"/>
      <w:lang w:val="tr-TR"/>
    </w:rPr>
  </w:style>
  <w:style w:type="character" w:customStyle="1" w:styleId="GvdemetniKaln">
    <w:name w:val="Gövde metni + Kalın"/>
    <w:basedOn w:val="Gvdemetni"/>
    <w:rsid w:val="00C36EB1"/>
    <w:rPr>
      <w:b/>
      <w:bCs/>
      <w:color w:val="000000"/>
      <w:spacing w:val="0"/>
      <w:w w:val="100"/>
      <w:position w:val="0"/>
      <w:lang w:val="tr-TR"/>
    </w:rPr>
  </w:style>
  <w:style w:type="paragraph" w:customStyle="1" w:styleId="Balk10">
    <w:name w:val="Başlık #1"/>
    <w:basedOn w:val="Normal"/>
    <w:link w:val="Balk1"/>
    <w:rsid w:val="00C36EB1"/>
    <w:pPr>
      <w:shd w:val="clear" w:color="auto" w:fill="FFFFFF"/>
      <w:spacing w:line="0" w:lineRule="atLeast"/>
      <w:jc w:val="center"/>
      <w:outlineLvl w:val="0"/>
    </w:pPr>
    <w:rPr>
      <w:rFonts w:ascii="Times New Roman" w:eastAsia="Times New Roman" w:hAnsi="Times New Roman" w:cs="Times New Roman"/>
      <w:b/>
      <w:bCs/>
      <w:spacing w:val="10"/>
      <w:sz w:val="23"/>
      <w:szCs w:val="23"/>
    </w:rPr>
  </w:style>
  <w:style w:type="paragraph" w:customStyle="1" w:styleId="Gvdemetni0">
    <w:name w:val="Gövde metni"/>
    <w:basedOn w:val="Normal"/>
    <w:link w:val="Gvdemetni"/>
    <w:rsid w:val="00C36EB1"/>
    <w:pPr>
      <w:shd w:val="clear" w:color="auto" w:fill="FFFFFF"/>
      <w:spacing w:line="182" w:lineRule="exact"/>
      <w:jc w:val="both"/>
    </w:pPr>
    <w:rPr>
      <w:rFonts w:ascii="Times New Roman" w:eastAsia="Times New Roman" w:hAnsi="Times New Roman" w:cs="Times New Roman"/>
      <w:sz w:val="15"/>
      <w:szCs w:val="15"/>
    </w:rPr>
  </w:style>
  <w:style w:type="paragraph" w:customStyle="1" w:styleId="Balk20">
    <w:name w:val="Başlık #2"/>
    <w:basedOn w:val="Normal"/>
    <w:link w:val="Balk2"/>
    <w:rsid w:val="00C36EB1"/>
    <w:pPr>
      <w:shd w:val="clear" w:color="auto" w:fill="FFFFFF"/>
      <w:spacing w:line="182" w:lineRule="exact"/>
      <w:ind w:firstLine="720"/>
      <w:jc w:val="both"/>
      <w:outlineLvl w:val="1"/>
    </w:pPr>
    <w:rPr>
      <w:rFonts w:ascii="Times New Roman" w:eastAsia="Times New Roman" w:hAnsi="Times New Roman" w:cs="Times New Roman"/>
      <w:b/>
      <w:bCs/>
      <w:sz w:val="15"/>
      <w:szCs w:val="15"/>
    </w:rPr>
  </w:style>
  <w:style w:type="paragraph" w:customStyle="1" w:styleId="Balk220">
    <w:name w:val="Başlık #2 (2)"/>
    <w:basedOn w:val="Normal"/>
    <w:link w:val="Balk22"/>
    <w:rsid w:val="00C36EB1"/>
    <w:pPr>
      <w:shd w:val="clear" w:color="auto" w:fill="FFFFFF"/>
      <w:spacing w:line="182" w:lineRule="exact"/>
      <w:ind w:firstLine="720"/>
      <w:jc w:val="both"/>
      <w:outlineLvl w:val="1"/>
    </w:pPr>
    <w:rPr>
      <w:rFonts w:ascii="Times New Roman" w:eastAsia="Times New Roman" w:hAnsi="Times New Roman" w:cs="Times New Roman"/>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2012-07-19T12:47:00Z</dcterms:created>
  <dcterms:modified xsi:type="dcterms:W3CDTF">2012-07-19T12:47:00Z</dcterms:modified>
</cp:coreProperties>
</file>