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E1" w:rsidRDefault="005A5637">
      <w:pPr>
        <w:pStyle w:val="Balk10"/>
        <w:framePr w:w="7502" w:h="797" w:hRule="exact" w:wrap="none" w:vAnchor="page" w:hAnchor="page" w:x="452" w:y="2425"/>
        <w:shd w:val="clear" w:color="auto" w:fill="auto"/>
        <w:ind w:left="1320" w:right="1340"/>
      </w:pPr>
      <w:bookmarkStart w:id="0" w:name="bookmark0"/>
      <w:r>
        <w:t>MEZİTLİ BELEDİYE BAŞKANLIĞINDAN İHALE İLE TAŞINMAZ SATIŞI İLANI</w:t>
      </w:r>
      <w:bookmarkEnd w:id="0"/>
    </w:p>
    <w:p w:rsidR="005B44E1" w:rsidRDefault="005A5637">
      <w:pPr>
        <w:pStyle w:val="Gvdemetni0"/>
        <w:framePr w:w="7502" w:h="1083" w:hRule="exact" w:wrap="none" w:vAnchor="page" w:hAnchor="page" w:x="452" w:y="3251"/>
        <w:shd w:val="clear" w:color="auto" w:fill="auto"/>
        <w:ind w:left="80" w:right="40"/>
      </w:pPr>
      <w:r>
        <w:t xml:space="preserve">Aşağıda tapu kaydı, nitelikleri belirtilen Mülkiyeti Mezitli Belediyesine ait 8 adet arsa 2886 Sayılı Devlet ihale Yasasının 45. maddesine göre (açık teklif usulü) aşağıda belirtilen gün ve </w:t>
      </w:r>
      <w:r>
        <w:t>saatlerde Mezitli Belediyesi Meclis Salonunda satış ihalesi yapılacaktır.</w:t>
      </w:r>
    </w:p>
    <w:p w:rsidR="005B44E1" w:rsidRDefault="005A5637">
      <w:pPr>
        <w:pStyle w:val="Gvdemetni0"/>
        <w:framePr w:w="7502" w:h="1083" w:hRule="exact" w:wrap="none" w:vAnchor="page" w:hAnchor="page" w:x="452" w:y="3251"/>
        <w:shd w:val="clear" w:color="auto" w:fill="auto"/>
        <w:spacing w:line="168" w:lineRule="exact"/>
        <w:ind w:left="80" w:right="40"/>
      </w:pPr>
      <w:r>
        <w:t>İhaleye ilişkin şartname ve ekleri belediyemiz Emlak ve İstimlak Müdürlüğünde mesai saatleri içerisinde görülebilir, ihaleye katılmak isteyenlerin ihale ilanında belirtilen belgelerl</w:t>
      </w:r>
      <w:r>
        <w:t xml:space="preserve">e birlikte </w:t>
      </w:r>
      <w:r>
        <w:rPr>
          <w:rStyle w:val="GvdemetniKaln0ptbolukbraklyor"/>
        </w:rPr>
        <w:t xml:space="preserve">07/02/2013 </w:t>
      </w:r>
      <w:r>
        <w:t xml:space="preserve">günü saat </w:t>
      </w:r>
      <w:r>
        <w:rPr>
          <w:rStyle w:val="GvdemetniKaln0ptbolukbraklyor"/>
        </w:rPr>
        <w:t xml:space="preserve">12.00 </w:t>
      </w:r>
      <w:r>
        <w:t>ye kadar belediyemize müracaat etmesi gerekmektedir. Bu saatten sonra yapılacak müracaatlar ve eksik evraklı müracaatlar kabul edilmeyecektir.</w:t>
      </w:r>
    </w:p>
    <w:p w:rsidR="005B44E1" w:rsidRDefault="005A5637">
      <w:pPr>
        <w:pStyle w:val="Tabloyazs0"/>
        <w:framePr w:w="2150" w:h="173" w:hRule="exact" w:wrap="none" w:vAnchor="page" w:hAnchor="page" w:x="476" w:y="4416"/>
        <w:shd w:val="clear" w:color="auto" w:fill="auto"/>
        <w:spacing w:line="120" w:lineRule="exact"/>
      </w:pPr>
      <w:r>
        <w:t>SATIŞI YAPILACAK TAŞINMAZIN</w:t>
      </w:r>
    </w:p>
    <w:tbl>
      <w:tblPr>
        <w:tblOverlap w:val="never"/>
        <w:tblW w:w="0" w:type="auto"/>
        <w:tblLayout w:type="fixed"/>
        <w:tblCellMar>
          <w:left w:w="10" w:type="dxa"/>
          <w:right w:w="10" w:type="dxa"/>
        </w:tblCellMar>
        <w:tblLook w:val="04A0"/>
      </w:tblPr>
      <w:tblGrid>
        <w:gridCol w:w="1445"/>
        <w:gridCol w:w="432"/>
        <w:gridCol w:w="691"/>
        <w:gridCol w:w="806"/>
        <w:gridCol w:w="1349"/>
        <w:gridCol w:w="1123"/>
        <w:gridCol w:w="955"/>
        <w:gridCol w:w="662"/>
      </w:tblGrid>
      <w:tr w:rsidR="005B44E1">
        <w:tblPrEx>
          <w:tblCellMar>
            <w:top w:w="0" w:type="dxa"/>
            <w:bottom w:w="0" w:type="dxa"/>
          </w:tblCellMar>
        </w:tblPrEx>
        <w:trPr>
          <w:trHeight w:hRule="exact" w:val="317"/>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Mahallesi</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Kaln0ptbolukbraklyor0"/>
              </w:rPr>
              <w:t>Cinsi</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m2</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Kaln0ptbolukbraklyor0"/>
              </w:rPr>
              <w:t>Ada/Parsel</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Kaln0ptbolukbraklyor0"/>
              </w:rPr>
              <w:t>Muhammen Bedeli</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Kaln0ptbolukbraklyor0"/>
              </w:rPr>
              <w:t>G.Teminat</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Gün</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Kaln0ptbolukbraklyor0"/>
              </w:rPr>
              <w:t>Saat</w:t>
            </w:r>
          </w:p>
        </w:tc>
      </w:tr>
      <w:tr w:rsidR="005B44E1">
        <w:tblPrEx>
          <w:tblCellMar>
            <w:top w:w="0" w:type="dxa"/>
            <w:bottom w:w="0" w:type="dxa"/>
          </w:tblCellMar>
        </w:tblPrEx>
        <w:trPr>
          <w:trHeight w:hRule="exact" w:val="317"/>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1) Akdeniz Mahallesi</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2356,00</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926/1</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706.800,00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21.204,00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14,00</w:t>
            </w:r>
          </w:p>
        </w:tc>
      </w:tr>
      <w:tr w:rsidR="005B44E1">
        <w:tblPrEx>
          <w:tblCellMar>
            <w:top w:w="0" w:type="dxa"/>
            <w:bottom w:w="0" w:type="dxa"/>
          </w:tblCellMar>
        </w:tblPrEx>
        <w:trPr>
          <w:trHeight w:hRule="exact" w:val="312"/>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00"/>
              <w:jc w:val="left"/>
            </w:pPr>
            <w:r>
              <w:rPr>
                <w:rStyle w:val="GvdemetniKaln0ptbolukbraklyor0"/>
              </w:rPr>
              <w:t>2) Yeni Mahalle</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1316,00</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263/4</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618.520,00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18.555,60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14,15</w:t>
            </w:r>
          </w:p>
        </w:tc>
      </w:tr>
      <w:tr w:rsidR="005B44E1">
        <w:tblPrEx>
          <w:tblCellMar>
            <w:top w:w="0" w:type="dxa"/>
            <w:bottom w:w="0" w:type="dxa"/>
          </w:tblCellMar>
        </w:tblPrEx>
        <w:trPr>
          <w:trHeight w:hRule="exact" w:val="317"/>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 xml:space="preserve">3) </w:t>
            </w:r>
            <w:r>
              <w:rPr>
                <w:rStyle w:val="GvdemetniKaln0ptbolukbraklyor0"/>
              </w:rPr>
              <w:t>Merkez Mahallesi</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743,86</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532/9</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260.351,00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7.810,53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14,30</w:t>
            </w:r>
          </w:p>
        </w:tc>
      </w:tr>
      <w:tr w:rsidR="005B44E1">
        <w:tblPrEx>
          <w:tblCellMar>
            <w:top w:w="0" w:type="dxa"/>
            <w:bottom w:w="0" w:type="dxa"/>
          </w:tblCellMar>
        </w:tblPrEx>
        <w:trPr>
          <w:trHeight w:hRule="exact" w:val="312"/>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4) Viranşehir Mahallesi</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849,00</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137/14</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382.050,00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11.461,50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14,45</w:t>
            </w:r>
          </w:p>
        </w:tc>
      </w:tr>
      <w:tr w:rsidR="005B44E1">
        <w:tblPrEx>
          <w:tblCellMar>
            <w:top w:w="0" w:type="dxa"/>
            <w:bottom w:w="0" w:type="dxa"/>
          </w:tblCellMar>
        </w:tblPrEx>
        <w:trPr>
          <w:trHeight w:hRule="exact" w:val="317"/>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00"/>
              <w:jc w:val="left"/>
            </w:pPr>
            <w:r>
              <w:rPr>
                <w:rStyle w:val="GvdemetniKaln0ptbolukbraklyor0"/>
              </w:rPr>
              <w:t>5) Yeni Mahalle</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536,00</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658/1</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60"/>
              <w:jc w:val="right"/>
            </w:pPr>
            <w:r>
              <w:rPr>
                <w:rStyle w:val="Gvdemetni1"/>
              </w:rPr>
              <w:t>147.400,00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4.422,00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15,00</w:t>
            </w:r>
          </w:p>
        </w:tc>
      </w:tr>
      <w:tr w:rsidR="005B44E1">
        <w:tblPrEx>
          <w:tblCellMar>
            <w:top w:w="0" w:type="dxa"/>
            <w:bottom w:w="0" w:type="dxa"/>
          </w:tblCellMar>
        </w:tblPrEx>
        <w:trPr>
          <w:trHeight w:hRule="exact" w:val="312"/>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 xml:space="preserve">6) </w:t>
            </w:r>
            <w:r>
              <w:rPr>
                <w:rStyle w:val="GvdemetniKaln0ptbolukbraklyor0"/>
              </w:rPr>
              <w:t>Viranşehir Mahallesi</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560,00</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933/3</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352.800,00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10.584,00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15,15</w:t>
            </w:r>
          </w:p>
        </w:tc>
      </w:tr>
      <w:tr w:rsidR="005B44E1">
        <w:tblPrEx>
          <w:tblCellMar>
            <w:top w:w="0" w:type="dxa"/>
            <w:bottom w:w="0" w:type="dxa"/>
          </w:tblCellMar>
        </w:tblPrEx>
        <w:trPr>
          <w:trHeight w:hRule="exact" w:val="312"/>
        </w:trPr>
        <w:tc>
          <w:tcPr>
            <w:tcW w:w="144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7) Merkez Mahallesi</w:t>
            </w:r>
          </w:p>
        </w:tc>
        <w:tc>
          <w:tcPr>
            <w:tcW w:w="432"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599,00</w:t>
            </w:r>
          </w:p>
        </w:tc>
        <w:tc>
          <w:tcPr>
            <w:tcW w:w="806"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605/6</w:t>
            </w:r>
          </w:p>
        </w:tc>
        <w:tc>
          <w:tcPr>
            <w:tcW w:w="1349"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329.450,00 TL</w:t>
            </w:r>
          </w:p>
        </w:tc>
        <w:tc>
          <w:tcPr>
            <w:tcW w:w="1123"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9.883,50 TL</w:t>
            </w:r>
          </w:p>
        </w:tc>
        <w:tc>
          <w:tcPr>
            <w:tcW w:w="955" w:type="dxa"/>
            <w:tcBorders>
              <w:top w:val="single" w:sz="4" w:space="0" w:color="auto"/>
              <w:lef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15,30</w:t>
            </w:r>
          </w:p>
        </w:tc>
      </w:tr>
      <w:tr w:rsidR="005B44E1">
        <w:tblPrEx>
          <w:tblCellMar>
            <w:top w:w="0" w:type="dxa"/>
            <w:bottom w:w="0" w:type="dxa"/>
          </w:tblCellMar>
        </w:tblPrEx>
        <w:trPr>
          <w:trHeight w:hRule="exact" w:val="326"/>
        </w:trPr>
        <w:tc>
          <w:tcPr>
            <w:tcW w:w="1445"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Kaln0ptbolukbraklyor0"/>
              </w:rPr>
              <w:t>8) Merkez Mahallesi</w:t>
            </w:r>
          </w:p>
        </w:tc>
        <w:tc>
          <w:tcPr>
            <w:tcW w:w="432"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80"/>
              <w:jc w:val="left"/>
            </w:pPr>
            <w:r>
              <w:rPr>
                <w:rStyle w:val="Gvdemetni1"/>
              </w:rPr>
              <w:t>Arsa</w:t>
            </w:r>
          </w:p>
        </w:tc>
        <w:tc>
          <w:tcPr>
            <w:tcW w:w="691"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1136,76</w:t>
            </w:r>
          </w:p>
        </w:tc>
        <w:tc>
          <w:tcPr>
            <w:tcW w:w="806"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616/1</w:t>
            </w:r>
          </w:p>
        </w:tc>
        <w:tc>
          <w:tcPr>
            <w:tcW w:w="1349"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220"/>
              <w:jc w:val="left"/>
            </w:pPr>
            <w:r>
              <w:rPr>
                <w:rStyle w:val="Gvdemetni1"/>
              </w:rPr>
              <w:t>312.609,00 TL</w:t>
            </w:r>
          </w:p>
        </w:tc>
        <w:tc>
          <w:tcPr>
            <w:tcW w:w="1123"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right="180"/>
              <w:jc w:val="right"/>
            </w:pPr>
            <w:r>
              <w:rPr>
                <w:rStyle w:val="Gvdemetni1"/>
              </w:rPr>
              <w:t>9.378,27 TL</w:t>
            </w:r>
          </w:p>
        </w:tc>
        <w:tc>
          <w:tcPr>
            <w:tcW w:w="955" w:type="dxa"/>
            <w:tcBorders>
              <w:top w:val="single" w:sz="4" w:space="0" w:color="auto"/>
              <w:left w:val="single" w:sz="4" w:space="0" w:color="auto"/>
              <w:bottom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jc w:val="center"/>
            </w:pPr>
            <w:r>
              <w:rPr>
                <w:rStyle w:val="Gvdemetni1"/>
              </w:rPr>
              <w:t>07/02/2013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5B44E1" w:rsidRDefault="005A5637">
            <w:pPr>
              <w:pStyle w:val="Gvdemetni0"/>
              <w:framePr w:w="7464" w:h="2842" w:wrap="none" w:vAnchor="page" w:hAnchor="page" w:x="467" w:y="4612"/>
              <w:shd w:val="clear" w:color="auto" w:fill="auto"/>
              <w:spacing w:line="120" w:lineRule="exact"/>
              <w:ind w:left="160"/>
              <w:jc w:val="left"/>
            </w:pPr>
            <w:r>
              <w:rPr>
                <w:rStyle w:val="Gvdemetni1"/>
              </w:rPr>
              <w:t>15,45</w:t>
            </w:r>
          </w:p>
        </w:tc>
      </w:tr>
    </w:tbl>
    <w:p w:rsidR="005B44E1" w:rsidRDefault="005A5637">
      <w:pPr>
        <w:pStyle w:val="Gvdemetni20"/>
        <w:framePr w:w="7502" w:h="2212" w:hRule="exact" w:wrap="none" w:vAnchor="page" w:hAnchor="page" w:x="452" w:y="7551"/>
        <w:shd w:val="clear" w:color="auto" w:fill="auto"/>
        <w:spacing w:before="0"/>
        <w:ind w:left="80"/>
      </w:pPr>
      <w:r>
        <w:t>İHALEYE KATILMAK İÇİN İSTENEN BİLGİ VE BELGELER</w:t>
      </w:r>
    </w:p>
    <w:p w:rsidR="005B44E1" w:rsidRDefault="005A5637">
      <w:pPr>
        <w:pStyle w:val="Gvdemetni0"/>
        <w:framePr w:w="7502" w:h="2212" w:hRule="exact" w:wrap="none" w:vAnchor="page" w:hAnchor="page" w:x="452" w:y="7551"/>
        <w:numPr>
          <w:ilvl w:val="0"/>
          <w:numId w:val="1"/>
        </w:numPr>
        <w:shd w:val="clear" w:color="auto" w:fill="auto"/>
        <w:tabs>
          <w:tab w:val="left" w:pos="296"/>
        </w:tabs>
        <w:spacing w:line="168" w:lineRule="exact"/>
        <w:ind w:left="80"/>
      </w:pPr>
      <w:r>
        <w:t>Nüfus cüzdanı sureti,</w:t>
      </w:r>
    </w:p>
    <w:p w:rsidR="005B44E1" w:rsidRDefault="005A5637">
      <w:pPr>
        <w:pStyle w:val="Gvdemetni0"/>
        <w:framePr w:w="7502" w:h="2212" w:hRule="exact" w:wrap="none" w:vAnchor="page" w:hAnchor="page" w:x="452" w:y="7551"/>
        <w:numPr>
          <w:ilvl w:val="0"/>
          <w:numId w:val="1"/>
        </w:numPr>
        <w:shd w:val="clear" w:color="auto" w:fill="auto"/>
        <w:tabs>
          <w:tab w:val="left" w:pos="286"/>
        </w:tabs>
        <w:spacing w:line="168" w:lineRule="exact"/>
        <w:ind w:left="80"/>
      </w:pPr>
      <w:r>
        <w:t>Türkiye de tebligat için adres beyanı,</w:t>
      </w:r>
    </w:p>
    <w:p w:rsidR="005B44E1" w:rsidRDefault="005A5637">
      <w:pPr>
        <w:pStyle w:val="Gvdemetni0"/>
        <w:framePr w:w="7502" w:h="2212" w:hRule="exact" w:wrap="none" w:vAnchor="page" w:hAnchor="page" w:x="452" w:y="7551"/>
        <w:numPr>
          <w:ilvl w:val="0"/>
          <w:numId w:val="1"/>
        </w:numPr>
        <w:shd w:val="clear" w:color="auto" w:fill="auto"/>
        <w:tabs>
          <w:tab w:val="left" w:pos="291"/>
        </w:tabs>
        <w:spacing w:line="168" w:lineRule="exact"/>
        <w:ind w:left="80"/>
      </w:pPr>
      <w:r>
        <w:t>% 3 geçici teminatın ödendiğine dair belge,</w:t>
      </w:r>
    </w:p>
    <w:p w:rsidR="005B44E1" w:rsidRDefault="005A5637">
      <w:pPr>
        <w:pStyle w:val="Gvdemetni0"/>
        <w:framePr w:w="7502" w:h="2212" w:hRule="exact" w:wrap="none" w:vAnchor="page" w:hAnchor="page" w:x="452" w:y="7551"/>
        <w:numPr>
          <w:ilvl w:val="0"/>
          <w:numId w:val="1"/>
        </w:numPr>
        <w:shd w:val="clear" w:color="auto" w:fill="auto"/>
        <w:tabs>
          <w:tab w:val="left" w:pos="301"/>
        </w:tabs>
        <w:spacing w:line="168" w:lineRule="exact"/>
        <w:ind w:left="80"/>
      </w:pPr>
      <w:r>
        <w:t>Belediyemize borcu olmadığına dair belge,</w:t>
      </w:r>
    </w:p>
    <w:p w:rsidR="005B44E1" w:rsidRDefault="005A5637">
      <w:pPr>
        <w:pStyle w:val="Gvdemetni0"/>
        <w:framePr w:w="7502" w:h="2212" w:hRule="exact" w:wrap="none" w:vAnchor="page" w:hAnchor="page" w:x="452" w:y="7551"/>
        <w:numPr>
          <w:ilvl w:val="0"/>
          <w:numId w:val="1"/>
        </w:numPr>
        <w:shd w:val="clear" w:color="auto" w:fill="auto"/>
        <w:tabs>
          <w:tab w:val="left" w:pos="286"/>
        </w:tabs>
        <w:spacing w:line="168" w:lineRule="exact"/>
        <w:ind w:left="80" w:right="40"/>
      </w:pPr>
      <w:r>
        <w:t xml:space="preserve">Tüzel kişilerde ise, yukarıdaki şartlardan ayrı olarak, idare merkezlerinin bulunduğu yer mahkemesinden veya siciline kayıtlı </w:t>
      </w:r>
      <w:r>
        <w:t>bulunduğu ticaret ve sanayi odasından veya benzeri bir makamdan ihalenin yapıldığı yıl içinde alınmış tüzel kişiliğin sicile kayıtlı olduğuna dair belge ve tüzel kişilik adına ihaleye katılacak veya teklifte bulunacak kişilerin tüzel kişiliği temsile yetki</w:t>
      </w:r>
      <w:r>
        <w:t>li olduklarını gösterir noterden tasdik edilmiş vekaletname ve imza sirküleri.</w:t>
      </w:r>
    </w:p>
    <w:p w:rsidR="005B44E1" w:rsidRDefault="005A5637">
      <w:pPr>
        <w:pStyle w:val="Gvdemetni0"/>
        <w:framePr w:w="7502" w:h="2212" w:hRule="exact" w:wrap="none" w:vAnchor="page" w:hAnchor="page" w:x="452" w:y="7551"/>
        <w:numPr>
          <w:ilvl w:val="0"/>
          <w:numId w:val="1"/>
        </w:numPr>
        <w:shd w:val="clear" w:color="auto" w:fill="auto"/>
        <w:tabs>
          <w:tab w:val="left" w:pos="291"/>
        </w:tabs>
        <w:spacing w:line="168" w:lineRule="exact"/>
        <w:ind w:left="80"/>
      </w:pPr>
      <w:r>
        <w:t>Ortak olarak ihaleye girilecekse ortaklık beyannamesi (ihale üzerinde kaldığı takdirde noterden onaylanacak.)</w:t>
      </w:r>
    </w:p>
    <w:p w:rsidR="005B44E1" w:rsidRDefault="005A5637">
      <w:pPr>
        <w:pStyle w:val="Gvdemetni20"/>
        <w:framePr w:w="7502" w:h="2212" w:hRule="exact" w:wrap="none" w:vAnchor="page" w:hAnchor="page" w:x="452" w:y="7551"/>
        <w:shd w:val="clear" w:color="auto" w:fill="auto"/>
        <w:tabs>
          <w:tab w:val="left" w:pos="5739"/>
        </w:tabs>
        <w:spacing w:before="0" w:after="98"/>
        <w:ind w:left="80"/>
      </w:pPr>
      <w:r>
        <w:rPr>
          <w:rStyle w:val="Gvdemetni2KalnDeil0ptbolukbraklyor"/>
        </w:rPr>
        <w:t>İlan olunur.</w:t>
      </w:r>
      <w:r>
        <w:rPr>
          <w:rStyle w:val="Gvdemetni2KalnDeil0ptbolukbraklyor"/>
        </w:rPr>
        <w:tab/>
      </w:r>
      <w:r>
        <w:t xml:space="preserve">B.4249 </w:t>
      </w:r>
      <w:hyperlink r:id="rId7" w:history="1">
        <w:r>
          <w:rPr>
            <w:rStyle w:val="Kpr"/>
            <w:lang w:val="en-US"/>
          </w:rPr>
          <w:t>www.bik.gov.tr</w:t>
        </w:r>
      </w:hyperlink>
    </w:p>
    <w:p w:rsidR="005B44E1" w:rsidRDefault="005A5637">
      <w:pPr>
        <w:pStyle w:val="Gvdemetni20"/>
        <w:framePr w:w="7502" w:h="2212" w:hRule="exact" w:wrap="none" w:vAnchor="page" w:hAnchor="page" w:x="452" w:y="7551"/>
        <w:shd w:val="clear" w:color="auto" w:fill="auto"/>
        <w:tabs>
          <w:tab w:val="left" w:leader="underscore" w:pos="2768"/>
          <w:tab w:val="left" w:leader="underscore" w:pos="7573"/>
        </w:tabs>
        <w:spacing w:before="0" w:line="120" w:lineRule="exact"/>
        <w:ind w:left="80"/>
      </w:pPr>
      <w:r>
        <w:t xml:space="preserve">_ </w:t>
      </w:r>
      <w:r>
        <w:tab/>
      </w:r>
      <w:r>
        <w:rPr>
          <w:rStyle w:val="Gvdemetni21"/>
          <w:b/>
          <w:bCs/>
        </w:rPr>
        <w:t>Resmi ilanlar www.ilan.gov.tr'de</w:t>
      </w:r>
      <w:r>
        <w:tab/>
      </w:r>
    </w:p>
    <w:p w:rsidR="005B44E1" w:rsidRDefault="005B44E1">
      <w:pPr>
        <w:rPr>
          <w:sz w:val="2"/>
          <w:szCs w:val="2"/>
        </w:rPr>
      </w:pPr>
    </w:p>
    <w:sectPr w:rsidR="005B44E1" w:rsidSect="005B44E1">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637" w:rsidRDefault="005A5637" w:rsidP="005B44E1">
      <w:r>
        <w:separator/>
      </w:r>
    </w:p>
  </w:endnote>
  <w:endnote w:type="continuationSeparator" w:id="0">
    <w:p w:rsidR="005A5637" w:rsidRDefault="005A5637" w:rsidP="005B44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637" w:rsidRDefault="005A5637"/>
  </w:footnote>
  <w:footnote w:type="continuationSeparator" w:id="0">
    <w:p w:rsidR="005A5637" w:rsidRDefault="005A56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770"/>
    <w:multiLevelType w:val="multilevel"/>
    <w:tmpl w:val="CAB05CD6"/>
    <w:lvl w:ilvl="0">
      <w:start w:val="1"/>
      <w:numFmt w:val="bullet"/>
      <w:lvlText w:val="•"/>
      <w:lvlJc w:val="left"/>
      <w:rPr>
        <w:rFonts w:ascii="Arial" w:eastAsia="Arial" w:hAnsi="Arial" w:cs="Arial"/>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44E1"/>
    <w:rsid w:val="005A5637"/>
    <w:rsid w:val="005B44E1"/>
    <w:rsid w:val="00DC63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44E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44E1"/>
    <w:rPr>
      <w:color w:val="000080"/>
      <w:u w:val="single"/>
    </w:rPr>
  </w:style>
  <w:style w:type="character" w:customStyle="1" w:styleId="Balk1">
    <w:name w:val="Başlık #1_"/>
    <w:basedOn w:val="VarsaylanParagrafYazTipi"/>
    <w:link w:val="Balk10"/>
    <w:rsid w:val="005B44E1"/>
    <w:rPr>
      <w:rFonts w:ascii="Arial" w:eastAsia="Arial" w:hAnsi="Arial" w:cs="Arial"/>
      <w:b/>
      <w:bCs/>
      <w:i w:val="0"/>
      <w:iCs w:val="0"/>
      <w:smallCaps w:val="0"/>
      <w:strike w:val="0"/>
      <w:sz w:val="26"/>
      <w:szCs w:val="26"/>
      <w:u w:val="none"/>
    </w:rPr>
  </w:style>
  <w:style w:type="character" w:customStyle="1" w:styleId="Gvdemetni">
    <w:name w:val="Gövde metni_"/>
    <w:basedOn w:val="VarsaylanParagrafYazTipi"/>
    <w:link w:val="Gvdemetni0"/>
    <w:rsid w:val="005B44E1"/>
    <w:rPr>
      <w:rFonts w:ascii="Arial" w:eastAsia="Arial" w:hAnsi="Arial" w:cs="Arial"/>
      <w:b w:val="0"/>
      <w:bCs w:val="0"/>
      <w:i w:val="0"/>
      <w:iCs w:val="0"/>
      <w:smallCaps w:val="0"/>
      <w:strike w:val="0"/>
      <w:spacing w:val="1"/>
      <w:sz w:val="12"/>
      <w:szCs w:val="12"/>
      <w:u w:val="none"/>
    </w:rPr>
  </w:style>
  <w:style w:type="character" w:customStyle="1" w:styleId="GvdemetniKaln0ptbolukbraklyor">
    <w:name w:val="Gövde metni + Kalın;0 pt boşluk bırakılıyor"/>
    <w:basedOn w:val="Gvdemetni"/>
    <w:rsid w:val="005B44E1"/>
    <w:rPr>
      <w:b/>
      <w:bCs/>
      <w:color w:val="000000"/>
      <w:spacing w:val="-2"/>
      <w:w w:val="100"/>
      <w:position w:val="0"/>
      <w:lang w:val="tr-TR"/>
    </w:rPr>
  </w:style>
  <w:style w:type="character" w:customStyle="1" w:styleId="Tabloyazs">
    <w:name w:val="Tablo yazısı_"/>
    <w:basedOn w:val="VarsaylanParagrafYazTipi"/>
    <w:link w:val="Tabloyazs0"/>
    <w:rsid w:val="005B44E1"/>
    <w:rPr>
      <w:rFonts w:ascii="Arial" w:eastAsia="Arial" w:hAnsi="Arial" w:cs="Arial"/>
      <w:b/>
      <w:bCs/>
      <w:i w:val="0"/>
      <w:iCs w:val="0"/>
      <w:smallCaps w:val="0"/>
      <w:strike w:val="0"/>
      <w:spacing w:val="-2"/>
      <w:sz w:val="12"/>
      <w:szCs w:val="12"/>
      <w:u w:val="none"/>
    </w:rPr>
  </w:style>
  <w:style w:type="character" w:customStyle="1" w:styleId="GvdemetniKaln0ptbolukbraklyor0">
    <w:name w:val="Gövde metni + Kalın;0 pt boşluk bırakılıyor"/>
    <w:basedOn w:val="Gvdemetni"/>
    <w:rsid w:val="005B44E1"/>
    <w:rPr>
      <w:b/>
      <w:bCs/>
      <w:color w:val="000000"/>
      <w:spacing w:val="-2"/>
      <w:w w:val="100"/>
      <w:position w:val="0"/>
      <w:lang w:val="tr-TR"/>
    </w:rPr>
  </w:style>
  <w:style w:type="character" w:customStyle="1" w:styleId="Gvdemetni1">
    <w:name w:val="Gövde metni"/>
    <w:basedOn w:val="Gvdemetni"/>
    <w:rsid w:val="005B44E1"/>
    <w:rPr>
      <w:color w:val="000000"/>
      <w:w w:val="100"/>
      <w:position w:val="0"/>
      <w:lang w:val="tr-TR"/>
    </w:rPr>
  </w:style>
  <w:style w:type="character" w:customStyle="1" w:styleId="Gvdemetni2">
    <w:name w:val="Gövde metni (2)_"/>
    <w:basedOn w:val="VarsaylanParagrafYazTipi"/>
    <w:link w:val="Gvdemetni20"/>
    <w:rsid w:val="005B44E1"/>
    <w:rPr>
      <w:rFonts w:ascii="Arial" w:eastAsia="Arial" w:hAnsi="Arial" w:cs="Arial"/>
      <w:b/>
      <w:bCs/>
      <w:i w:val="0"/>
      <w:iCs w:val="0"/>
      <w:smallCaps w:val="0"/>
      <w:strike w:val="0"/>
      <w:spacing w:val="-2"/>
      <w:sz w:val="12"/>
      <w:szCs w:val="12"/>
      <w:u w:val="none"/>
    </w:rPr>
  </w:style>
  <w:style w:type="character" w:customStyle="1" w:styleId="Gvdemetni2KalnDeil0ptbolukbraklyor">
    <w:name w:val="Gövde metni (2) + Kalın Değil;0 pt boşluk bırakılıyor"/>
    <w:basedOn w:val="Gvdemetni2"/>
    <w:rsid w:val="005B44E1"/>
    <w:rPr>
      <w:b/>
      <w:bCs/>
      <w:color w:val="000000"/>
      <w:spacing w:val="1"/>
      <w:w w:val="100"/>
      <w:position w:val="0"/>
      <w:lang w:val="tr-TR"/>
    </w:rPr>
  </w:style>
  <w:style w:type="character" w:customStyle="1" w:styleId="Gvdemetni21">
    <w:name w:val="Gövde metni (2)"/>
    <w:basedOn w:val="Gvdemetni2"/>
    <w:rsid w:val="005B44E1"/>
    <w:rPr>
      <w:color w:val="000000"/>
      <w:w w:val="100"/>
      <w:position w:val="0"/>
      <w:u w:val="single"/>
      <w:lang w:val="tr-TR"/>
    </w:rPr>
  </w:style>
  <w:style w:type="paragraph" w:customStyle="1" w:styleId="Balk10">
    <w:name w:val="Başlık #1"/>
    <w:basedOn w:val="Normal"/>
    <w:link w:val="Balk1"/>
    <w:rsid w:val="005B44E1"/>
    <w:pPr>
      <w:shd w:val="clear" w:color="auto" w:fill="FFFFFF"/>
      <w:spacing w:line="370" w:lineRule="exact"/>
      <w:outlineLvl w:val="0"/>
    </w:pPr>
    <w:rPr>
      <w:rFonts w:ascii="Arial" w:eastAsia="Arial" w:hAnsi="Arial" w:cs="Arial"/>
      <w:b/>
      <w:bCs/>
      <w:sz w:val="26"/>
      <w:szCs w:val="26"/>
    </w:rPr>
  </w:style>
  <w:style w:type="paragraph" w:customStyle="1" w:styleId="Gvdemetni0">
    <w:name w:val="Gövde metni"/>
    <w:basedOn w:val="Normal"/>
    <w:link w:val="Gvdemetni"/>
    <w:rsid w:val="005B44E1"/>
    <w:pPr>
      <w:shd w:val="clear" w:color="auto" w:fill="FFFFFF"/>
      <w:spacing w:line="173" w:lineRule="exact"/>
      <w:jc w:val="both"/>
    </w:pPr>
    <w:rPr>
      <w:rFonts w:ascii="Arial" w:eastAsia="Arial" w:hAnsi="Arial" w:cs="Arial"/>
      <w:spacing w:val="1"/>
      <w:sz w:val="12"/>
      <w:szCs w:val="12"/>
    </w:rPr>
  </w:style>
  <w:style w:type="paragraph" w:customStyle="1" w:styleId="Tabloyazs0">
    <w:name w:val="Tablo yazısı"/>
    <w:basedOn w:val="Normal"/>
    <w:link w:val="Tabloyazs"/>
    <w:rsid w:val="005B44E1"/>
    <w:pPr>
      <w:shd w:val="clear" w:color="auto" w:fill="FFFFFF"/>
      <w:spacing w:line="0" w:lineRule="atLeast"/>
    </w:pPr>
    <w:rPr>
      <w:rFonts w:ascii="Arial" w:eastAsia="Arial" w:hAnsi="Arial" w:cs="Arial"/>
      <w:b/>
      <w:bCs/>
      <w:spacing w:val="-2"/>
      <w:sz w:val="12"/>
      <w:szCs w:val="12"/>
    </w:rPr>
  </w:style>
  <w:style w:type="paragraph" w:customStyle="1" w:styleId="Gvdemetni20">
    <w:name w:val="Gövde metni (2)"/>
    <w:basedOn w:val="Normal"/>
    <w:link w:val="Gvdemetni2"/>
    <w:rsid w:val="005B44E1"/>
    <w:pPr>
      <w:shd w:val="clear" w:color="auto" w:fill="FFFFFF"/>
      <w:spacing w:before="60" w:line="168" w:lineRule="exact"/>
      <w:jc w:val="both"/>
    </w:pPr>
    <w:rPr>
      <w:rFonts w:ascii="Arial" w:eastAsia="Arial" w:hAnsi="Arial" w:cs="Arial"/>
      <w:b/>
      <w:bCs/>
      <w:spacing w:val="-2"/>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2013-01-25T08:21:00Z</dcterms:created>
  <dcterms:modified xsi:type="dcterms:W3CDTF">2013-01-25T08:21:00Z</dcterms:modified>
</cp:coreProperties>
</file>