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jc w:val="center"/>
        <w:tblLayout w:type="fixed"/>
        <w:tblCellMar>
          <w:left w:w="10" w:type="dxa"/>
          <w:right w:w="10" w:type="dxa"/>
        </w:tblCellMar>
        <w:tblLook w:val="04A0"/>
      </w:tblPr>
      <w:tblGrid>
        <w:gridCol w:w="1790"/>
        <w:gridCol w:w="4747"/>
      </w:tblGrid>
      <w:tr w:rsidR="00D041CA">
        <w:trPr>
          <w:trHeight w:hRule="exact" w:val="326"/>
          <w:jc w:val="center"/>
        </w:trPr>
        <w:tc>
          <w:tcPr>
            <w:tcW w:w="1790" w:type="dxa"/>
            <w:shd w:val="clear" w:color="auto" w:fill="000000"/>
          </w:tcPr>
          <w:p w:rsidR="00D041CA" w:rsidRDefault="002F1403">
            <w:pPr>
              <w:pStyle w:val="Gvdemetni0"/>
              <w:framePr w:w="6538" w:wrap="notBeside" w:vAnchor="text" w:hAnchor="text" w:xAlign="center" w:y="1"/>
              <w:shd w:val="clear" w:color="auto" w:fill="auto"/>
              <w:spacing w:line="140" w:lineRule="exact"/>
              <w:ind w:left="120"/>
              <w:jc w:val="left"/>
            </w:pPr>
            <w:r>
              <w:rPr>
                <w:rStyle w:val="Gvdemetni1"/>
              </w:rPr>
              <w:t>T.C</w:t>
            </w:r>
          </w:p>
        </w:tc>
        <w:tc>
          <w:tcPr>
            <w:tcW w:w="4747" w:type="dxa"/>
            <w:shd w:val="clear" w:color="auto" w:fill="000000"/>
          </w:tcPr>
          <w:p w:rsidR="00D041CA" w:rsidRDefault="00D041CA">
            <w:pPr>
              <w:framePr w:w="6538" w:wrap="notBeside" w:vAnchor="text" w:hAnchor="text" w:xAlign="center" w:y="1"/>
              <w:rPr>
                <w:sz w:val="10"/>
                <w:szCs w:val="10"/>
              </w:rPr>
            </w:pPr>
          </w:p>
        </w:tc>
      </w:tr>
      <w:tr w:rsidR="00D041CA">
        <w:trPr>
          <w:trHeight w:hRule="exact" w:val="173"/>
          <w:jc w:val="center"/>
        </w:trPr>
        <w:tc>
          <w:tcPr>
            <w:tcW w:w="1790" w:type="dxa"/>
            <w:shd w:val="clear" w:color="auto" w:fill="000000"/>
          </w:tcPr>
          <w:p w:rsidR="00D041CA" w:rsidRDefault="002F1403">
            <w:pPr>
              <w:pStyle w:val="Gvdemetni0"/>
              <w:framePr w:w="6538" w:wrap="notBeside" w:vAnchor="text" w:hAnchor="text" w:xAlign="center" w:y="1"/>
              <w:shd w:val="clear" w:color="auto" w:fill="auto"/>
              <w:spacing w:line="140" w:lineRule="exact"/>
              <w:ind w:left="120"/>
              <w:jc w:val="left"/>
            </w:pPr>
            <w:r>
              <w:rPr>
                <w:rStyle w:val="Gvdemetni1"/>
              </w:rPr>
              <w:t>EDREMİT</w:t>
            </w:r>
          </w:p>
        </w:tc>
        <w:tc>
          <w:tcPr>
            <w:tcW w:w="4747" w:type="dxa"/>
            <w:shd w:val="clear" w:color="auto" w:fill="000000"/>
          </w:tcPr>
          <w:p w:rsidR="00D041CA" w:rsidRDefault="00D041CA">
            <w:pPr>
              <w:framePr w:w="6538" w:wrap="notBeside" w:vAnchor="text" w:hAnchor="text" w:xAlign="center" w:y="1"/>
              <w:rPr>
                <w:sz w:val="10"/>
                <w:szCs w:val="10"/>
              </w:rPr>
            </w:pPr>
          </w:p>
        </w:tc>
      </w:tr>
      <w:tr w:rsidR="00D041CA">
        <w:trPr>
          <w:trHeight w:hRule="exact" w:val="187"/>
          <w:jc w:val="center"/>
        </w:trPr>
        <w:tc>
          <w:tcPr>
            <w:tcW w:w="1790" w:type="dxa"/>
            <w:shd w:val="clear" w:color="auto" w:fill="000000"/>
          </w:tcPr>
          <w:p w:rsidR="00D041CA" w:rsidRDefault="002F1403">
            <w:pPr>
              <w:pStyle w:val="Gvdemetni0"/>
              <w:framePr w:w="6538" w:wrap="notBeside" w:vAnchor="text" w:hAnchor="text" w:xAlign="center" w:y="1"/>
              <w:shd w:val="clear" w:color="auto" w:fill="auto"/>
              <w:spacing w:line="140" w:lineRule="exact"/>
              <w:ind w:left="120"/>
              <w:jc w:val="left"/>
            </w:pPr>
            <w:r>
              <w:rPr>
                <w:rStyle w:val="Gvdemetni1"/>
              </w:rPr>
              <w:t>1.İCRA MÜDÜRLÜĞÜ</w:t>
            </w:r>
          </w:p>
        </w:tc>
        <w:tc>
          <w:tcPr>
            <w:tcW w:w="4747" w:type="dxa"/>
            <w:shd w:val="clear" w:color="auto" w:fill="000000"/>
          </w:tcPr>
          <w:p w:rsidR="00D041CA" w:rsidRDefault="00D041CA">
            <w:pPr>
              <w:framePr w:w="6538" w:wrap="notBeside" w:vAnchor="text" w:hAnchor="text" w:xAlign="center" w:y="1"/>
              <w:rPr>
                <w:sz w:val="10"/>
                <w:szCs w:val="10"/>
              </w:rPr>
            </w:pPr>
          </w:p>
        </w:tc>
      </w:tr>
      <w:tr w:rsidR="00D041CA">
        <w:trPr>
          <w:trHeight w:hRule="exact" w:val="173"/>
          <w:jc w:val="center"/>
        </w:trPr>
        <w:tc>
          <w:tcPr>
            <w:tcW w:w="1790" w:type="dxa"/>
            <w:vMerge w:val="restart"/>
            <w:shd w:val="clear" w:color="auto" w:fill="000000"/>
          </w:tcPr>
          <w:p w:rsidR="00D041CA" w:rsidRDefault="002F1403">
            <w:pPr>
              <w:pStyle w:val="Gvdemetni0"/>
              <w:framePr w:w="6538" w:wrap="notBeside" w:vAnchor="text" w:hAnchor="text" w:xAlign="center" w:y="1"/>
              <w:shd w:val="clear" w:color="auto" w:fill="auto"/>
              <w:spacing w:line="140" w:lineRule="exact"/>
              <w:ind w:left="120"/>
              <w:jc w:val="left"/>
            </w:pPr>
            <w:r>
              <w:rPr>
                <w:rStyle w:val="Gvdemetni1"/>
              </w:rPr>
              <w:t>Dosya No:2011/2449</w:t>
            </w:r>
          </w:p>
        </w:tc>
        <w:tc>
          <w:tcPr>
            <w:tcW w:w="4747" w:type="dxa"/>
            <w:shd w:val="clear" w:color="auto" w:fill="000000"/>
          </w:tcPr>
          <w:p w:rsidR="00D041CA" w:rsidRDefault="00D041CA">
            <w:pPr>
              <w:framePr w:w="6538" w:wrap="notBeside" w:vAnchor="text" w:hAnchor="text" w:xAlign="center" w:y="1"/>
              <w:rPr>
                <w:sz w:val="10"/>
                <w:szCs w:val="10"/>
              </w:rPr>
            </w:pPr>
          </w:p>
        </w:tc>
      </w:tr>
      <w:tr w:rsidR="00D041CA">
        <w:trPr>
          <w:trHeight w:hRule="exact" w:val="264"/>
          <w:jc w:val="center"/>
        </w:trPr>
        <w:tc>
          <w:tcPr>
            <w:tcW w:w="1790" w:type="dxa"/>
            <w:vMerge/>
            <w:shd w:val="clear" w:color="auto" w:fill="000000"/>
          </w:tcPr>
          <w:p w:rsidR="00D041CA" w:rsidRDefault="00D041CA">
            <w:pPr>
              <w:framePr w:w="6538" w:wrap="notBeside" w:vAnchor="text" w:hAnchor="text" w:xAlign="center" w:y="1"/>
            </w:pPr>
          </w:p>
        </w:tc>
        <w:tc>
          <w:tcPr>
            <w:tcW w:w="4747" w:type="dxa"/>
            <w:shd w:val="clear" w:color="auto" w:fill="000000"/>
          </w:tcPr>
          <w:p w:rsidR="00D041CA" w:rsidRDefault="002F1403">
            <w:pPr>
              <w:pStyle w:val="Gvdemetni0"/>
              <w:framePr w:w="6538" w:wrap="notBeside" w:vAnchor="text" w:hAnchor="text" w:xAlign="center" w:y="1"/>
              <w:shd w:val="clear" w:color="auto" w:fill="auto"/>
              <w:spacing w:line="140" w:lineRule="exact"/>
              <w:ind w:left="380"/>
              <w:jc w:val="left"/>
            </w:pPr>
            <w:r>
              <w:rPr>
                <w:rStyle w:val="Gvdemetni1"/>
              </w:rPr>
              <w:t>TAŞINMAZIN AÇIK ARTIRMA İLANI</w:t>
            </w:r>
          </w:p>
        </w:tc>
      </w:tr>
    </w:tbl>
    <w:p w:rsidR="00D041CA" w:rsidRDefault="00D041CA">
      <w:pPr>
        <w:rPr>
          <w:sz w:val="2"/>
          <w:szCs w:val="2"/>
        </w:rPr>
      </w:pPr>
    </w:p>
    <w:p w:rsidR="00D041CA" w:rsidRDefault="002F1403">
      <w:pPr>
        <w:pStyle w:val="Gvdemetni20"/>
        <w:shd w:val="clear" w:color="auto" w:fill="auto"/>
        <w:ind w:left="120"/>
      </w:pPr>
      <w:r>
        <w:t>A SATILMASINA KARAR VERİLEN TAŞINMAZIN CİNSİ, DEĞERİ, ADEDİ, EVSAFI:</w:t>
      </w:r>
    </w:p>
    <w:p w:rsidR="00D041CA" w:rsidRDefault="002F1403">
      <w:pPr>
        <w:pStyle w:val="Gvdemetni0"/>
        <w:shd w:val="clear" w:color="auto" w:fill="auto"/>
        <w:ind w:left="120" w:right="220"/>
      </w:pPr>
      <w:r>
        <w:rPr>
          <w:rStyle w:val="GvdemetniKaln"/>
        </w:rPr>
        <w:t>1. TAŞINMAZ TAPU KAYDI</w:t>
      </w:r>
      <w:r>
        <w:t>: Balıkesir İli Edremit İlçesi Altınoluk Köyü Cilt :210, Sayfa:20771, Ada: 366, Parsel :1 de tapuya kayıtlı 1.589,37 m2 miktarında 2 Adet 3 Katlı Betonarme yapı vasfında 40/1104 arsa paylı A Blok Zemin Kat Bağımsız Bölüm: 5 deki mesken vasfındaki taşınmaz.</w:t>
      </w:r>
    </w:p>
    <w:p w:rsidR="00D041CA" w:rsidRDefault="002F1403">
      <w:pPr>
        <w:pStyle w:val="Gvdemetni0"/>
        <w:shd w:val="clear" w:color="auto" w:fill="auto"/>
        <w:ind w:left="120" w:right="220"/>
        <w:jc w:val="left"/>
      </w:pPr>
      <w:r>
        <w:t xml:space="preserve">(Beyan hanesi: Yönetim Planı :06.11.2006, Bu gayrimenkul mülkiyeti kat mülkiyetine geçmiştir.) </w:t>
      </w:r>
      <w:r>
        <w:rPr>
          <w:rStyle w:val="GvdemetniKaln"/>
        </w:rPr>
        <w:t xml:space="preserve">TAŞINMAZIN HALİ HAZIR DURUMU; </w:t>
      </w:r>
      <w:r>
        <w:t>Taşınmaz Şahindere Mahallesi Kısıkçınar Caddesi Yeşil Evler Sitesi A Blok No: 5 Altınoluk /Edremit -Balıkesir adresinde bulunmaktadır. Taşınmazın bulunduğu bölgeye ulaşım toplu taşıma araçları ile sürekli olarak sağlanabilmektedir. Bölge bahçeli nizam 3 kat konut alanındadır. Etrafında bu imar düzeninde yapılmış siteler ve binalar mevcuttur. 366 ada 1 parsel numaralı 1589,37 m2 yüzölçümlü arsa üzerinde lll-cinsinde , ayrık yapı-nizamında bodrum+zemin+2 normal kat olarak inşa edilmiş A,B bloklar bulunmaktadır. A blokta 15 adet, B blokta 12 tane olmak üzere parsel içinde toplam 27 adet bağımsız bölüm mevcuttur, a Blokta her katta 5 er daire bulunmaktadır. Parsel güneyde kuzeyde doğuda yola, batıda komşu parsele cephelidir. Az eğimli arazi üzerinde düzgün olmayan geometrik yapıya sahiptir. Parsel etrafı bahçe duvarı ile çevrili olup, site içi çevre düzenlemesi yapılmıştır. Taşınmaz 2 oda, Açık mutfak, salon, Banyo Balkon ve Giriş holünden oluşmaktadır. Taşınmaz 56m2 kullanım alanlıdır.</w:t>
      </w:r>
    </w:p>
    <w:p w:rsidR="00775B25" w:rsidRDefault="00775B25">
      <w:pPr>
        <w:pStyle w:val="Gvdemetni0"/>
        <w:shd w:val="clear" w:color="auto" w:fill="auto"/>
        <w:ind w:left="120" w:right="220"/>
        <w:jc w:val="left"/>
      </w:pPr>
    </w:p>
    <w:p w:rsidR="00D041CA" w:rsidRDefault="002F1403">
      <w:pPr>
        <w:pStyle w:val="Gvdemetni0"/>
        <w:shd w:val="clear" w:color="auto" w:fill="auto"/>
        <w:ind w:left="120" w:right="220"/>
      </w:pPr>
      <w:r>
        <w:rPr>
          <w:rStyle w:val="GvdemetniKaln"/>
        </w:rPr>
        <w:t xml:space="preserve">TAŞINMAZLARIN İMAR DURUMU: </w:t>
      </w:r>
      <w:r>
        <w:t>Altınoluk Belediye Başkanlığının 23/12/2011 tarih ve 2786 sayılı yazısı ile Beldemiz sınırları içerisinde 366 ada 1 nolu parsel, aynk nizam 3 kat %25-75 yoğunluklu olup, imar durumu yazımız ekinde gönderilmiştir .Şeklinde bildirilmiştir.</w:t>
      </w:r>
    </w:p>
    <w:p w:rsidR="00775B25" w:rsidRDefault="00775B25">
      <w:pPr>
        <w:pStyle w:val="Gvdemetni0"/>
        <w:shd w:val="clear" w:color="auto" w:fill="auto"/>
        <w:ind w:left="120" w:right="220"/>
      </w:pPr>
    </w:p>
    <w:p w:rsidR="00D041CA" w:rsidRDefault="002F1403">
      <w:pPr>
        <w:pStyle w:val="Gvdemetni20"/>
        <w:shd w:val="clear" w:color="auto" w:fill="auto"/>
        <w:ind w:left="120"/>
      </w:pPr>
      <w:r>
        <w:t>MUHAMMEN</w:t>
      </w:r>
      <w:r w:rsidR="00775B25">
        <w:t xml:space="preserve"> BEDELİ: 80.000,00- TL (Seksenb</w:t>
      </w:r>
      <w:r>
        <w:t>in Türk lirası)</w:t>
      </w:r>
    </w:p>
    <w:p w:rsidR="00775B25" w:rsidRDefault="00775B25">
      <w:pPr>
        <w:pStyle w:val="Gvdemetni20"/>
        <w:shd w:val="clear" w:color="auto" w:fill="auto"/>
        <w:ind w:left="120"/>
      </w:pPr>
    </w:p>
    <w:p w:rsidR="00775B25" w:rsidRDefault="002F1403">
      <w:pPr>
        <w:pStyle w:val="Gvdemetni20"/>
        <w:shd w:val="clear" w:color="auto" w:fill="auto"/>
        <w:ind w:left="120"/>
      </w:pPr>
      <w:r>
        <w:t>B) SATIŞ ŞARTLARI:</w:t>
      </w:r>
    </w:p>
    <w:p w:rsidR="00775B25" w:rsidRDefault="002F1403">
      <w:pPr>
        <w:pStyle w:val="Gvdemetni0"/>
        <w:shd w:val="clear" w:color="auto" w:fill="auto"/>
        <w:ind w:left="120" w:right="220"/>
      </w:pPr>
      <w:r>
        <w:t>I- Satış 24/07/2012 günü saat: 14.00 -14.10 arası Edremit Adliyesi Zemin Kattaki Salon Edremit/Balıkesir adresinde açık artırma suretiyle yapılacaktır. Bu artırmada tahmin edilen değerin % 6Q'fnı ve rüçhanlı alacaklılar varsa alacakları toplamını ve satış giderlerini geçmek şartı ile ihale olunur. Böyle bir bedelle alıcı çıkmazsa en çok artıranın taahhüdü saklı kalmak şartı ile 03/08/2012 günü aynı yer ve saatte ikinci artırmaya çıkarılacaktır. Bu artırmada da rüçhanlı alacaklıların alacağını ve satış giderlerini geçmesi şartıyla kıymetin % 40'nı bulduğunda ihale olunur.</w:t>
      </w:r>
    </w:p>
    <w:p w:rsidR="00775B25" w:rsidRDefault="002F1403" w:rsidP="00775B25">
      <w:pPr>
        <w:pStyle w:val="Gvdemetni0"/>
        <w:numPr>
          <w:ilvl w:val="0"/>
          <w:numId w:val="1"/>
        </w:numPr>
        <w:shd w:val="clear" w:color="auto" w:fill="auto"/>
        <w:tabs>
          <w:tab w:val="left" w:pos="235"/>
        </w:tabs>
        <w:ind w:left="120" w:right="220"/>
      </w:pPr>
      <w:r>
        <w:t>- Artırmaya iştirak edeceklerin, tahmin edilen değerin % 20'si oranında pey akçesi veya bu miktar kadar banka teminat mektubu vermeleri lâzımdır. Satış peşin para iledir, alıcı istediğinde (10) günü geçmemek üzere süre verilebilir. Damga vergisi, tapu alım harç ve masrafları ile KDV ile tahliye ve teslim masrafları alıcıya aittir. Birikmiş vergiler ve Tellâliye resmi satış bedelinden ödenir.</w:t>
      </w:r>
    </w:p>
    <w:p w:rsidR="00775B25" w:rsidRDefault="002F1403" w:rsidP="00775B25">
      <w:pPr>
        <w:pStyle w:val="Gvdemetni0"/>
        <w:numPr>
          <w:ilvl w:val="0"/>
          <w:numId w:val="1"/>
        </w:numPr>
        <w:shd w:val="clear" w:color="auto" w:fill="auto"/>
        <w:tabs>
          <w:tab w:val="left" w:pos="235"/>
        </w:tabs>
        <w:ind w:left="120" w:right="220"/>
      </w:pPr>
      <w:r>
        <w:t>-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775B25" w:rsidRDefault="002F1403" w:rsidP="00775B25">
      <w:pPr>
        <w:pStyle w:val="Gvdemetni0"/>
        <w:numPr>
          <w:ilvl w:val="0"/>
          <w:numId w:val="1"/>
        </w:numPr>
        <w:shd w:val="clear" w:color="auto" w:fill="auto"/>
        <w:tabs>
          <w:tab w:val="left" w:pos="254"/>
        </w:tabs>
        <w:ind w:left="120" w:right="220"/>
      </w:pPr>
      <w:r>
        <w:t>- Satış bedeli hemen veya verilen mühlet içinde ödenmezse İcra ve İflas Kanununun 133 üncü maddesi gereğince ihale feshedilir. İki ihale arasındaki farktan ve %10 faizden alıcı ve kefilleri mesul tutulacak ve hiçbir hükme hacet kalmadan kendilerinden tahsil edilecektir.</w:t>
      </w:r>
    </w:p>
    <w:p w:rsidR="00775B25" w:rsidRDefault="002F1403" w:rsidP="00775B25">
      <w:pPr>
        <w:pStyle w:val="Gvdemetni0"/>
        <w:numPr>
          <w:ilvl w:val="0"/>
          <w:numId w:val="1"/>
        </w:numPr>
        <w:shd w:val="clear" w:color="auto" w:fill="auto"/>
        <w:tabs>
          <w:tab w:val="left" w:pos="254"/>
        </w:tabs>
        <w:ind w:left="120" w:right="220"/>
      </w:pPr>
      <w:r>
        <w:t>- Şartname, ilân tarihinden itibaren herkesin görebilmesi için dairede açık olup gideri verildiği takdirde isteyen alıcıya bir örneği gönderilebilir.</w:t>
      </w:r>
    </w:p>
    <w:p w:rsidR="00D041CA" w:rsidRDefault="002F1403">
      <w:pPr>
        <w:pStyle w:val="Gvdemetni0"/>
        <w:shd w:val="clear" w:color="auto" w:fill="auto"/>
        <w:ind w:left="120" w:right="220"/>
      </w:pPr>
      <w:r>
        <w:t>6-lşbu ilan tapuda adresi bulunmayan ve/veya tapuda kayıtlı adreslerinde bulunamayan ilgililere İİK. nun 127. maddesi gereğince tebliğ yerine kaimdir</w:t>
      </w:r>
    </w:p>
    <w:p w:rsidR="00D041CA" w:rsidRDefault="002F1403">
      <w:pPr>
        <w:pStyle w:val="Gvdemetni0"/>
        <w:shd w:val="clear" w:color="auto" w:fill="auto"/>
        <w:ind w:left="120" w:right="220"/>
      </w:pPr>
      <w:r>
        <w:t>7 - Satışa iştirak edenlerin şartnameyi görmüş ve münderecatını kabul etmiş sayılacakları, başkaca bilgi almak isteyenlerin 2011/2449 sayılı dosya numarasıyla müdürlüğümüze başvurmalan ilân olunur.</w:t>
      </w:r>
    </w:p>
    <w:p w:rsidR="00D041CA" w:rsidRDefault="002F1403">
      <w:pPr>
        <w:pStyle w:val="Gvdemetni0"/>
        <w:shd w:val="clear" w:color="auto" w:fill="auto"/>
        <w:ind w:left="120"/>
      </w:pPr>
      <w:r>
        <w:t>(IİKm.126)</w:t>
      </w:r>
    </w:p>
    <w:p w:rsidR="00D041CA" w:rsidRDefault="002F1403">
      <w:pPr>
        <w:pStyle w:val="Gvdemetni0"/>
        <w:shd w:val="clear" w:color="auto" w:fill="auto"/>
        <w:spacing w:after="326"/>
        <w:ind w:left="120"/>
      </w:pPr>
      <w:r>
        <w:t>(*) İlgililer tabirine irtifak hakkı sahipleri de dahildir</w:t>
      </w:r>
      <w:r w:rsidR="00775B25">
        <w:t xml:space="preserve">    BN33953</w:t>
      </w:r>
    </w:p>
    <w:sectPr w:rsidR="00D041CA" w:rsidSect="00D041CA">
      <w:pgSz w:w="11909" w:h="16834"/>
      <w:pgMar w:top="3277" w:right="2681" w:bottom="3498" w:left="268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01E" w:rsidRDefault="00B7701E" w:rsidP="00D041CA">
      <w:r>
        <w:separator/>
      </w:r>
    </w:p>
  </w:endnote>
  <w:endnote w:type="continuationSeparator" w:id="1">
    <w:p w:rsidR="00B7701E" w:rsidRDefault="00B7701E" w:rsidP="00D041CA">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01E" w:rsidRDefault="00B7701E"/>
  </w:footnote>
  <w:footnote w:type="continuationSeparator" w:id="1">
    <w:p w:rsidR="00B7701E" w:rsidRDefault="00B7701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57977"/>
    <w:multiLevelType w:val="multilevel"/>
    <w:tmpl w:val="6C36C98A"/>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041CA"/>
    <w:rsid w:val="001D710D"/>
    <w:rsid w:val="002F1403"/>
    <w:rsid w:val="00775B25"/>
    <w:rsid w:val="00B7701E"/>
    <w:rsid w:val="00D041CA"/>
    <w:rsid w:val="00FD6C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41C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041CA"/>
    <w:rPr>
      <w:color w:val="000080"/>
      <w:u w:val="single"/>
    </w:rPr>
  </w:style>
  <w:style w:type="character" w:customStyle="1" w:styleId="Gvdemetni">
    <w:name w:val="Gövde metni_"/>
    <w:basedOn w:val="VarsaylanParagrafYazTipi"/>
    <w:link w:val="Gvdemetni0"/>
    <w:rsid w:val="00D041CA"/>
    <w:rPr>
      <w:rFonts w:ascii="Trebuchet MS" w:eastAsia="Trebuchet MS" w:hAnsi="Trebuchet MS" w:cs="Trebuchet MS"/>
      <w:b w:val="0"/>
      <w:bCs w:val="0"/>
      <w:i w:val="0"/>
      <w:iCs w:val="0"/>
      <w:smallCaps w:val="0"/>
      <w:strike w:val="0"/>
      <w:sz w:val="14"/>
      <w:szCs w:val="14"/>
      <w:u w:val="none"/>
    </w:rPr>
  </w:style>
  <w:style w:type="character" w:customStyle="1" w:styleId="Gvdemetni1">
    <w:name w:val="Gövde metni"/>
    <w:basedOn w:val="Gvdemetni"/>
    <w:rsid w:val="00D041CA"/>
    <w:rPr>
      <w:color w:val="FFFFFF"/>
      <w:spacing w:val="0"/>
      <w:w w:val="100"/>
      <w:position w:val="0"/>
      <w:lang w:val="tr-TR"/>
    </w:rPr>
  </w:style>
  <w:style w:type="character" w:customStyle="1" w:styleId="Gvdemetni2">
    <w:name w:val="Gövde metni (2)_"/>
    <w:basedOn w:val="VarsaylanParagrafYazTipi"/>
    <w:link w:val="Gvdemetni20"/>
    <w:rsid w:val="00D041CA"/>
    <w:rPr>
      <w:rFonts w:ascii="Trebuchet MS" w:eastAsia="Trebuchet MS" w:hAnsi="Trebuchet MS" w:cs="Trebuchet MS"/>
      <w:b/>
      <w:bCs/>
      <w:i w:val="0"/>
      <w:iCs w:val="0"/>
      <w:smallCaps w:val="0"/>
      <w:strike w:val="0"/>
      <w:sz w:val="14"/>
      <w:szCs w:val="14"/>
      <w:u w:val="none"/>
    </w:rPr>
  </w:style>
  <w:style w:type="character" w:customStyle="1" w:styleId="GvdemetniKaln">
    <w:name w:val="Gövde metni + Kalın"/>
    <w:basedOn w:val="Gvdemetni"/>
    <w:rsid w:val="00D041CA"/>
    <w:rPr>
      <w:b/>
      <w:bCs/>
      <w:color w:val="000000"/>
      <w:spacing w:val="0"/>
      <w:w w:val="100"/>
      <w:position w:val="0"/>
      <w:lang w:val="tr-TR"/>
    </w:rPr>
  </w:style>
  <w:style w:type="paragraph" w:customStyle="1" w:styleId="Gvdemetni0">
    <w:name w:val="Gövde metni"/>
    <w:basedOn w:val="Normal"/>
    <w:link w:val="Gvdemetni"/>
    <w:rsid w:val="00D041CA"/>
    <w:pPr>
      <w:shd w:val="clear" w:color="auto" w:fill="FFFFFF"/>
      <w:spacing w:line="173" w:lineRule="exact"/>
      <w:jc w:val="both"/>
    </w:pPr>
    <w:rPr>
      <w:rFonts w:ascii="Trebuchet MS" w:eastAsia="Trebuchet MS" w:hAnsi="Trebuchet MS" w:cs="Trebuchet MS"/>
      <w:sz w:val="14"/>
      <w:szCs w:val="14"/>
    </w:rPr>
  </w:style>
  <w:style w:type="paragraph" w:customStyle="1" w:styleId="Gvdemetni20">
    <w:name w:val="Gövde metni (2)"/>
    <w:basedOn w:val="Normal"/>
    <w:link w:val="Gvdemetni2"/>
    <w:rsid w:val="00D041CA"/>
    <w:pPr>
      <w:shd w:val="clear" w:color="auto" w:fill="FFFFFF"/>
      <w:spacing w:line="173" w:lineRule="exact"/>
      <w:jc w:val="both"/>
    </w:pPr>
    <w:rPr>
      <w:rFonts w:ascii="Trebuchet MS" w:eastAsia="Trebuchet MS" w:hAnsi="Trebuchet MS" w:cs="Trebuchet MS"/>
      <w:b/>
      <w:bCs/>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2012-05-31T09:06:00Z</dcterms:created>
  <dcterms:modified xsi:type="dcterms:W3CDTF">2012-05-31T11:39:00Z</dcterms:modified>
</cp:coreProperties>
</file>