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4A" w:rsidRDefault="009D1B4A" w:rsidP="009D1B4A"/>
    <w:p w:rsidR="004B75F0" w:rsidRDefault="004B75F0" w:rsidP="009D1B4A"/>
    <w:p w:rsidR="004B75F0" w:rsidRPr="00105E72" w:rsidRDefault="004B75F0" w:rsidP="004B75F0">
      <w:pPr>
        <w:pStyle w:val="Balk1"/>
        <w:spacing w:before="0"/>
        <w:jc w:val="both"/>
        <w:rPr>
          <w:color w:val="1F497D" w:themeColor="text2"/>
        </w:rPr>
      </w:pPr>
      <w:r w:rsidRPr="00105E72">
        <w:rPr>
          <w:color w:val="1F497D" w:themeColor="text2"/>
        </w:rPr>
        <w:t>İstatistik Bülteni</w:t>
      </w:r>
      <w:r>
        <w:rPr>
          <w:color w:val="1F497D" w:themeColor="text2"/>
        </w:rPr>
        <w:t xml:space="preserve"> – Yapı İzinleri 2014 </w:t>
      </w:r>
      <w:r w:rsidR="00417C90">
        <w:rPr>
          <w:color w:val="1F497D" w:themeColor="text2"/>
        </w:rPr>
        <w:t>Ocak - Haziran</w:t>
      </w:r>
      <w:r w:rsidRPr="00105E72">
        <w:rPr>
          <w:color w:val="1F497D" w:themeColor="text2"/>
        </w:rPr>
        <w:t xml:space="preserve"> Verileri</w:t>
      </w:r>
    </w:p>
    <w:p w:rsidR="004B75F0" w:rsidRDefault="004B75F0" w:rsidP="004B75F0">
      <w:pPr>
        <w:jc w:val="both"/>
        <w:rPr>
          <w:rFonts w:asciiTheme="majorHAnsi" w:hAnsiTheme="majorHAnsi"/>
          <w:b/>
        </w:rPr>
      </w:pP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rFonts w:asciiTheme="majorHAnsi" w:hAnsiTheme="majorHAnsi"/>
        </w:rPr>
        <w:t>TÜİK tarafından açıklanan verilere göre 2014 yılı</w:t>
      </w:r>
      <w:r w:rsidR="00417C90">
        <w:rPr>
          <w:rFonts w:asciiTheme="majorHAnsi" w:hAnsiTheme="majorHAnsi"/>
        </w:rPr>
        <w:t>nın</w:t>
      </w:r>
      <w:r>
        <w:rPr>
          <w:rFonts w:asciiTheme="majorHAnsi" w:hAnsiTheme="majorHAnsi"/>
        </w:rPr>
        <w:t xml:space="preserve"> ilk </w:t>
      </w:r>
      <w:r w:rsidR="00417C90">
        <w:rPr>
          <w:rFonts w:asciiTheme="majorHAnsi" w:hAnsiTheme="majorHAnsi"/>
        </w:rPr>
        <w:t>yarısında</w:t>
      </w:r>
      <w:r>
        <w:rPr>
          <w:rFonts w:asciiTheme="majorHAnsi" w:hAnsiTheme="majorHAnsi"/>
        </w:rPr>
        <w:t xml:space="preserve"> yapı ruhsatları ve yapı kullanma izinlerinde büyük bir artış gerçekleşmiştir. Türkiye genelinde yapı ruhsatı ve yapı kullanma izni verileri aşağıdaki şekildedir.</w:t>
      </w:r>
    </w:p>
    <w:p w:rsidR="004B75F0" w:rsidRDefault="004B75F0" w:rsidP="004B75F0">
      <w:pPr>
        <w:jc w:val="both"/>
        <w:rPr>
          <w:rFonts w:asciiTheme="majorHAnsi" w:hAnsiTheme="majorHAnsi"/>
        </w:rPr>
      </w:pPr>
    </w:p>
    <w:tbl>
      <w:tblPr>
        <w:tblW w:w="5620" w:type="dxa"/>
        <w:tblInd w:w="55" w:type="dxa"/>
        <w:tblCellMar>
          <w:left w:w="70" w:type="dxa"/>
          <w:right w:w="70" w:type="dxa"/>
        </w:tblCellMar>
        <w:tblLook w:val="04A0" w:firstRow="1" w:lastRow="0" w:firstColumn="1" w:lastColumn="0" w:noHBand="0" w:noVBand="1"/>
      </w:tblPr>
      <w:tblGrid>
        <w:gridCol w:w="1580"/>
        <w:gridCol w:w="1540"/>
        <w:gridCol w:w="1540"/>
        <w:gridCol w:w="960"/>
      </w:tblGrid>
      <w:tr w:rsidR="004B75F0" w:rsidRPr="00E60BE4" w:rsidTr="00384FC3">
        <w:trPr>
          <w:trHeight w:val="255"/>
        </w:trPr>
        <w:tc>
          <w:tcPr>
            <w:tcW w:w="1580" w:type="dxa"/>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b/>
                <w:sz w:val="20"/>
                <w:szCs w:val="20"/>
                <w:lang w:eastAsia="tr-TR"/>
              </w:rPr>
            </w:pPr>
            <w:r w:rsidRPr="00E60BE4">
              <w:rPr>
                <w:rFonts w:asciiTheme="majorHAnsi" w:hAnsiTheme="majorHAnsi" w:cs="Arial"/>
                <w:b/>
                <w:sz w:val="20"/>
                <w:szCs w:val="20"/>
                <w:lang w:eastAsia="tr-TR"/>
              </w:rPr>
              <w:t>Yapı Ruhsatı</w:t>
            </w:r>
          </w:p>
        </w:tc>
        <w:tc>
          <w:tcPr>
            <w:tcW w:w="1540" w:type="dxa"/>
            <w:tcBorders>
              <w:top w:val="nil"/>
              <w:left w:val="nil"/>
              <w:bottom w:val="nil"/>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p>
        </w:tc>
        <w:tc>
          <w:tcPr>
            <w:tcW w:w="1540" w:type="dxa"/>
            <w:tcBorders>
              <w:top w:val="nil"/>
              <w:left w:val="nil"/>
              <w:bottom w:val="nil"/>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p>
        </w:tc>
        <w:tc>
          <w:tcPr>
            <w:tcW w:w="960" w:type="dxa"/>
            <w:tcBorders>
              <w:top w:val="nil"/>
              <w:left w:val="nil"/>
              <w:bottom w:val="nil"/>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p>
        </w:tc>
      </w:tr>
      <w:tr w:rsidR="004B75F0" w:rsidRPr="00E60BE4" w:rsidTr="00384FC3">
        <w:trPr>
          <w:trHeight w:val="255"/>
        </w:trPr>
        <w:tc>
          <w:tcPr>
            <w:tcW w:w="1580" w:type="dxa"/>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p>
        </w:tc>
        <w:tc>
          <w:tcPr>
            <w:tcW w:w="1540" w:type="dxa"/>
            <w:tcBorders>
              <w:top w:val="nil"/>
              <w:left w:val="nil"/>
              <w:bottom w:val="nil"/>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p>
        </w:tc>
        <w:tc>
          <w:tcPr>
            <w:tcW w:w="1540" w:type="dxa"/>
            <w:tcBorders>
              <w:top w:val="nil"/>
              <w:left w:val="nil"/>
              <w:bottom w:val="nil"/>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p>
        </w:tc>
        <w:tc>
          <w:tcPr>
            <w:tcW w:w="960" w:type="dxa"/>
            <w:tcBorders>
              <w:top w:val="nil"/>
              <w:left w:val="nil"/>
              <w:bottom w:val="nil"/>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p>
        </w:tc>
      </w:tr>
      <w:tr w:rsidR="004B75F0" w:rsidRPr="00E60BE4" w:rsidTr="00384FC3">
        <w:trPr>
          <w:trHeight w:val="270"/>
        </w:trPr>
        <w:tc>
          <w:tcPr>
            <w:tcW w:w="1580" w:type="dxa"/>
            <w:tcBorders>
              <w:top w:val="nil"/>
              <w:left w:val="nil"/>
              <w:bottom w:val="single" w:sz="4" w:space="0" w:color="auto"/>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r w:rsidRPr="00E60BE4">
              <w:rPr>
                <w:rFonts w:asciiTheme="majorHAnsi" w:hAnsiTheme="majorHAnsi" w:cs="Arial"/>
                <w:sz w:val="20"/>
                <w:szCs w:val="20"/>
                <w:lang w:eastAsia="tr-TR"/>
              </w:rPr>
              <w:t> </w:t>
            </w:r>
          </w:p>
        </w:tc>
        <w:tc>
          <w:tcPr>
            <w:tcW w:w="1540" w:type="dxa"/>
            <w:tcBorders>
              <w:top w:val="nil"/>
              <w:left w:val="nil"/>
              <w:bottom w:val="single" w:sz="4" w:space="0" w:color="auto"/>
              <w:right w:val="nil"/>
            </w:tcBorders>
            <w:shd w:val="clear" w:color="auto" w:fill="auto"/>
            <w:noWrap/>
            <w:vAlign w:val="bottom"/>
            <w:hideMark/>
          </w:tcPr>
          <w:p w:rsidR="004B75F0" w:rsidRPr="00E60BE4" w:rsidRDefault="00417C90" w:rsidP="00384FC3">
            <w:pPr>
              <w:jc w:val="right"/>
              <w:rPr>
                <w:rFonts w:asciiTheme="majorHAnsi" w:hAnsiTheme="majorHAnsi" w:cs="Arial"/>
                <w:sz w:val="20"/>
                <w:szCs w:val="20"/>
                <w:lang w:eastAsia="tr-TR"/>
              </w:rPr>
            </w:pPr>
            <w:r>
              <w:rPr>
                <w:rFonts w:asciiTheme="majorHAnsi" w:hAnsiTheme="majorHAnsi" w:cs="Arial"/>
                <w:sz w:val="20"/>
                <w:szCs w:val="20"/>
                <w:lang w:eastAsia="tr-TR"/>
              </w:rPr>
              <w:t>2013 2</w:t>
            </w:r>
            <w:r w:rsidR="004B75F0" w:rsidRPr="00E60BE4">
              <w:rPr>
                <w:rFonts w:asciiTheme="majorHAnsi" w:hAnsiTheme="majorHAnsi" w:cs="Arial"/>
                <w:sz w:val="20"/>
                <w:szCs w:val="20"/>
                <w:lang w:eastAsia="tr-TR"/>
              </w:rPr>
              <w:t>Ç</w:t>
            </w:r>
          </w:p>
        </w:tc>
        <w:tc>
          <w:tcPr>
            <w:tcW w:w="1540" w:type="dxa"/>
            <w:tcBorders>
              <w:top w:val="nil"/>
              <w:left w:val="nil"/>
              <w:bottom w:val="single" w:sz="4" w:space="0" w:color="auto"/>
              <w:right w:val="nil"/>
            </w:tcBorders>
            <w:shd w:val="clear" w:color="auto" w:fill="auto"/>
            <w:noWrap/>
            <w:vAlign w:val="bottom"/>
            <w:hideMark/>
          </w:tcPr>
          <w:p w:rsidR="004B75F0" w:rsidRPr="00E60BE4" w:rsidRDefault="00417C90" w:rsidP="00384FC3">
            <w:pPr>
              <w:jc w:val="right"/>
              <w:rPr>
                <w:rFonts w:asciiTheme="majorHAnsi" w:hAnsiTheme="majorHAnsi" w:cs="Arial"/>
                <w:sz w:val="20"/>
                <w:szCs w:val="20"/>
                <w:lang w:eastAsia="tr-TR"/>
              </w:rPr>
            </w:pPr>
            <w:r>
              <w:rPr>
                <w:rFonts w:asciiTheme="majorHAnsi" w:hAnsiTheme="majorHAnsi" w:cs="Arial"/>
                <w:sz w:val="20"/>
                <w:szCs w:val="20"/>
                <w:lang w:eastAsia="tr-TR"/>
              </w:rPr>
              <w:t>2014 2</w:t>
            </w:r>
            <w:r w:rsidR="004B75F0" w:rsidRPr="00E60BE4">
              <w:rPr>
                <w:rFonts w:asciiTheme="majorHAnsi" w:hAnsiTheme="majorHAnsi" w:cs="Arial"/>
                <w:sz w:val="20"/>
                <w:szCs w:val="20"/>
                <w:lang w:eastAsia="tr-TR"/>
              </w:rPr>
              <w:t>Ç</w:t>
            </w:r>
          </w:p>
        </w:tc>
        <w:tc>
          <w:tcPr>
            <w:tcW w:w="960" w:type="dxa"/>
            <w:tcBorders>
              <w:top w:val="nil"/>
              <w:left w:val="nil"/>
              <w:bottom w:val="single" w:sz="4" w:space="0" w:color="auto"/>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r w:rsidRPr="00E60BE4">
              <w:rPr>
                <w:rFonts w:asciiTheme="majorHAnsi" w:hAnsiTheme="majorHAnsi" w:cs="Arial"/>
                <w:sz w:val="20"/>
                <w:szCs w:val="20"/>
                <w:lang w:eastAsia="tr-TR"/>
              </w:rPr>
              <w:t>Fark %</w:t>
            </w:r>
          </w:p>
        </w:tc>
      </w:tr>
      <w:tr w:rsidR="004B75F0" w:rsidRPr="00E60BE4" w:rsidTr="00384FC3">
        <w:trPr>
          <w:trHeight w:val="270"/>
        </w:trPr>
        <w:tc>
          <w:tcPr>
            <w:tcW w:w="1580" w:type="dxa"/>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r w:rsidRPr="00E60BE4">
              <w:rPr>
                <w:rFonts w:asciiTheme="majorHAnsi" w:hAnsiTheme="majorHAnsi" w:cs="Arial"/>
                <w:sz w:val="20"/>
                <w:szCs w:val="20"/>
                <w:lang w:eastAsia="tr-TR"/>
              </w:rPr>
              <w:t>Bina Sayısı</w:t>
            </w:r>
          </w:p>
        </w:tc>
        <w:tc>
          <w:tcPr>
            <w:tcW w:w="1540" w:type="dxa"/>
            <w:tcBorders>
              <w:top w:val="nil"/>
              <w:left w:val="nil"/>
              <w:bottom w:val="nil"/>
              <w:right w:val="nil"/>
            </w:tcBorders>
            <w:shd w:val="clear" w:color="auto" w:fill="auto"/>
            <w:noWrap/>
            <w:vAlign w:val="bottom"/>
            <w:hideMark/>
          </w:tcPr>
          <w:p w:rsidR="004B75F0" w:rsidRPr="00E60BE4" w:rsidRDefault="00417C90" w:rsidP="00384FC3">
            <w:pPr>
              <w:jc w:val="right"/>
              <w:rPr>
                <w:rFonts w:asciiTheme="majorHAnsi" w:hAnsiTheme="majorHAnsi" w:cs="Arial"/>
                <w:sz w:val="20"/>
                <w:szCs w:val="20"/>
                <w:lang w:eastAsia="tr-TR"/>
              </w:rPr>
            </w:pPr>
            <w:r>
              <w:rPr>
                <w:rFonts w:asciiTheme="majorHAnsi" w:hAnsiTheme="majorHAnsi" w:cs="Arial"/>
                <w:sz w:val="20"/>
                <w:szCs w:val="20"/>
                <w:lang w:eastAsia="tr-TR"/>
              </w:rPr>
              <w:t>59.551</w:t>
            </w:r>
          </w:p>
        </w:tc>
        <w:tc>
          <w:tcPr>
            <w:tcW w:w="1540" w:type="dxa"/>
            <w:tcBorders>
              <w:top w:val="nil"/>
              <w:left w:val="nil"/>
              <w:bottom w:val="nil"/>
              <w:right w:val="nil"/>
            </w:tcBorders>
            <w:shd w:val="clear" w:color="auto" w:fill="auto"/>
            <w:noWrap/>
            <w:vAlign w:val="bottom"/>
            <w:hideMark/>
          </w:tcPr>
          <w:p w:rsidR="004B75F0" w:rsidRPr="00E60BE4" w:rsidRDefault="00417C90" w:rsidP="00384FC3">
            <w:pPr>
              <w:jc w:val="right"/>
              <w:rPr>
                <w:rFonts w:asciiTheme="majorHAnsi" w:hAnsiTheme="majorHAnsi" w:cs="Arial"/>
                <w:sz w:val="20"/>
                <w:szCs w:val="20"/>
                <w:lang w:eastAsia="tr-TR"/>
              </w:rPr>
            </w:pPr>
            <w:r>
              <w:rPr>
                <w:rFonts w:asciiTheme="majorHAnsi" w:hAnsiTheme="majorHAnsi" w:cs="Arial"/>
                <w:sz w:val="20"/>
                <w:szCs w:val="20"/>
                <w:lang w:eastAsia="tr-TR"/>
              </w:rPr>
              <w:t>74.214</w:t>
            </w:r>
          </w:p>
        </w:tc>
        <w:tc>
          <w:tcPr>
            <w:tcW w:w="960" w:type="dxa"/>
            <w:tcBorders>
              <w:top w:val="nil"/>
              <w:left w:val="nil"/>
              <w:bottom w:val="nil"/>
              <w:right w:val="nil"/>
            </w:tcBorders>
            <w:shd w:val="clear" w:color="auto" w:fill="auto"/>
            <w:noWrap/>
            <w:vAlign w:val="bottom"/>
            <w:hideMark/>
          </w:tcPr>
          <w:p w:rsidR="004B75F0" w:rsidRPr="00E60BE4" w:rsidRDefault="00417C90" w:rsidP="00384FC3">
            <w:pPr>
              <w:jc w:val="right"/>
              <w:rPr>
                <w:rFonts w:asciiTheme="majorHAnsi" w:hAnsiTheme="majorHAnsi" w:cs="Arial"/>
                <w:sz w:val="20"/>
                <w:szCs w:val="20"/>
                <w:lang w:eastAsia="tr-TR"/>
              </w:rPr>
            </w:pPr>
            <w:r>
              <w:rPr>
                <w:rFonts w:asciiTheme="majorHAnsi" w:hAnsiTheme="majorHAnsi" w:cs="Arial"/>
                <w:sz w:val="20"/>
                <w:szCs w:val="20"/>
                <w:lang w:eastAsia="tr-TR"/>
              </w:rPr>
              <w:t>25</w:t>
            </w:r>
            <w:r w:rsidR="004B75F0" w:rsidRPr="00E60BE4">
              <w:rPr>
                <w:rFonts w:asciiTheme="majorHAnsi" w:hAnsiTheme="majorHAnsi" w:cs="Arial"/>
                <w:sz w:val="20"/>
                <w:szCs w:val="20"/>
                <w:lang w:eastAsia="tr-TR"/>
              </w:rPr>
              <w:t>%</w:t>
            </w:r>
          </w:p>
        </w:tc>
      </w:tr>
      <w:tr w:rsidR="004B75F0" w:rsidRPr="00E60BE4" w:rsidTr="00384FC3">
        <w:trPr>
          <w:trHeight w:val="255"/>
        </w:trPr>
        <w:tc>
          <w:tcPr>
            <w:tcW w:w="1580" w:type="dxa"/>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r w:rsidRPr="00E60BE4">
              <w:rPr>
                <w:rFonts w:asciiTheme="majorHAnsi" w:hAnsiTheme="majorHAnsi" w:cs="Arial"/>
                <w:sz w:val="20"/>
                <w:szCs w:val="20"/>
                <w:lang w:eastAsia="tr-TR"/>
              </w:rPr>
              <w:t>Yüzölçümü (m²)</w:t>
            </w:r>
          </w:p>
        </w:tc>
        <w:tc>
          <w:tcPr>
            <w:tcW w:w="1540" w:type="dxa"/>
            <w:tcBorders>
              <w:top w:val="nil"/>
              <w:left w:val="nil"/>
              <w:bottom w:val="nil"/>
              <w:right w:val="nil"/>
            </w:tcBorders>
            <w:shd w:val="clear" w:color="auto" w:fill="auto"/>
            <w:noWrap/>
            <w:vAlign w:val="bottom"/>
            <w:hideMark/>
          </w:tcPr>
          <w:p w:rsidR="004B75F0" w:rsidRPr="00E60BE4" w:rsidRDefault="00417C90" w:rsidP="00384FC3">
            <w:pPr>
              <w:jc w:val="right"/>
              <w:rPr>
                <w:rFonts w:asciiTheme="majorHAnsi" w:hAnsiTheme="majorHAnsi" w:cs="Arial"/>
                <w:sz w:val="20"/>
                <w:szCs w:val="20"/>
                <w:lang w:eastAsia="tr-TR"/>
              </w:rPr>
            </w:pPr>
            <w:r>
              <w:rPr>
                <w:rFonts w:asciiTheme="majorHAnsi" w:hAnsiTheme="majorHAnsi" w:cs="Arial"/>
                <w:sz w:val="20"/>
                <w:szCs w:val="20"/>
                <w:lang w:eastAsia="tr-TR"/>
              </w:rPr>
              <w:t>82.902.610</w:t>
            </w:r>
          </w:p>
        </w:tc>
        <w:tc>
          <w:tcPr>
            <w:tcW w:w="1540" w:type="dxa"/>
            <w:tcBorders>
              <w:top w:val="nil"/>
              <w:left w:val="nil"/>
              <w:bottom w:val="nil"/>
              <w:right w:val="nil"/>
            </w:tcBorders>
            <w:shd w:val="clear" w:color="auto" w:fill="auto"/>
            <w:noWrap/>
            <w:vAlign w:val="bottom"/>
            <w:hideMark/>
          </w:tcPr>
          <w:p w:rsidR="004B75F0" w:rsidRPr="00E60BE4" w:rsidRDefault="00417C90" w:rsidP="00384FC3">
            <w:pPr>
              <w:jc w:val="right"/>
              <w:rPr>
                <w:rFonts w:asciiTheme="majorHAnsi" w:hAnsiTheme="majorHAnsi" w:cs="Arial"/>
                <w:sz w:val="20"/>
                <w:szCs w:val="20"/>
                <w:lang w:eastAsia="tr-TR"/>
              </w:rPr>
            </w:pPr>
            <w:r>
              <w:rPr>
                <w:rFonts w:asciiTheme="majorHAnsi" w:hAnsiTheme="majorHAnsi" w:cs="Arial"/>
                <w:sz w:val="20"/>
                <w:szCs w:val="20"/>
                <w:lang w:eastAsia="tr-TR"/>
              </w:rPr>
              <w:t>112.617.603</w:t>
            </w:r>
          </w:p>
        </w:tc>
        <w:tc>
          <w:tcPr>
            <w:tcW w:w="960" w:type="dxa"/>
            <w:tcBorders>
              <w:top w:val="nil"/>
              <w:left w:val="nil"/>
              <w:bottom w:val="nil"/>
              <w:right w:val="nil"/>
            </w:tcBorders>
            <w:shd w:val="clear" w:color="auto" w:fill="auto"/>
            <w:noWrap/>
            <w:vAlign w:val="bottom"/>
            <w:hideMark/>
          </w:tcPr>
          <w:p w:rsidR="004B75F0" w:rsidRPr="00E60BE4" w:rsidRDefault="00417C90" w:rsidP="00384FC3">
            <w:pPr>
              <w:jc w:val="right"/>
              <w:rPr>
                <w:rFonts w:asciiTheme="majorHAnsi" w:hAnsiTheme="majorHAnsi" w:cs="Arial"/>
                <w:sz w:val="20"/>
                <w:szCs w:val="20"/>
                <w:lang w:eastAsia="tr-TR"/>
              </w:rPr>
            </w:pPr>
            <w:r>
              <w:rPr>
                <w:rFonts w:asciiTheme="majorHAnsi" w:hAnsiTheme="majorHAnsi" w:cs="Arial"/>
                <w:sz w:val="20"/>
                <w:szCs w:val="20"/>
                <w:lang w:eastAsia="tr-TR"/>
              </w:rPr>
              <w:t>36</w:t>
            </w:r>
            <w:r w:rsidR="004B75F0" w:rsidRPr="00E60BE4">
              <w:rPr>
                <w:rFonts w:asciiTheme="majorHAnsi" w:hAnsiTheme="majorHAnsi" w:cs="Arial"/>
                <w:sz w:val="20"/>
                <w:szCs w:val="20"/>
                <w:lang w:eastAsia="tr-TR"/>
              </w:rPr>
              <w:t>%</w:t>
            </w:r>
          </w:p>
        </w:tc>
      </w:tr>
      <w:tr w:rsidR="004B75F0" w:rsidRPr="00E60BE4" w:rsidTr="00384FC3">
        <w:trPr>
          <w:trHeight w:val="255"/>
        </w:trPr>
        <w:tc>
          <w:tcPr>
            <w:tcW w:w="1580" w:type="dxa"/>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r w:rsidRPr="00E60BE4">
              <w:rPr>
                <w:rFonts w:asciiTheme="majorHAnsi" w:hAnsiTheme="majorHAnsi" w:cs="Arial"/>
                <w:sz w:val="20"/>
                <w:szCs w:val="20"/>
                <w:lang w:eastAsia="tr-TR"/>
              </w:rPr>
              <w:t>Değer (TL)</w:t>
            </w:r>
          </w:p>
        </w:tc>
        <w:tc>
          <w:tcPr>
            <w:tcW w:w="1540" w:type="dxa"/>
            <w:tcBorders>
              <w:top w:val="nil"/>
              <w:left w:val="nil"/>
              <w:bottom w:val="nil"/>
              <w:right w:val="nil"/>
            </w:tcBorders>
            <w:shd w:val="clear" w:color="auto" w:fill="auto"/>
            <w:noWrap/>
            <w:vAlign w:val="bottom"/>
            <w:hideMark/>
          </w:tcPr>
          <w:p w:rsidR="004B75F0" w:rsidRPr="00E60BE4" w:rsidRDefault="00417C90" w:rsidP="00384FC3">
            <w:pPr>
              <w:jc w:val="right"/>
              <w:rPr>
                <w:rFonts w:asciiTheme="majorHAnsi" w:hAnsiTheme="majorHAnsi" w:cs="Arial"/>
                <w:sz w:val="20"/>
                <w:szCs w:val="20"/>
                <w:lang w:eastAsia="tr-TR"/>
              </w:rPr>
            </w:pPr>
            <w:r>
              <w:rPr>
                <w:rFonts w:asciiTheme="majorHAnsi" w:hAnsiTheme="majorHAnsi" w:cs="Arial"/>
                <w:sz w:val="20"/>
                <w:szCs w:val="20"/>
                <w:lang w:eastAsia="tr-TR"/>
              </w:rPr>
              <w:t>58.717.544.830</w:t>
            </w:r>
          </w:p>
        </w:tc>
        <w:tc>
          <w:tcPr>
            <w:tcW w:w="1540" w:type="dxa"/>
            <w:tcBorders>
              <w:top w:val="nil"/>
              <w:left w:val="nil"/>
              <w:bottom w:val="nil"/>
              <w:right w:val="nil"/>
            </w:tcBorders>
            <w:shd w:val="clear" w:color="auto" w:fill="auto"/>
            <w:noWrap/>
            <w:vAlign w:val="bottom"/>
            <w:hideMark/>
          </w:tcPr>
          <w:p w:rsidR="004B75F0" w:rsidRPr="00E60BE4" w:rsidRDefault="00417C90" w:rsidP="00384FC3">
            <w:pPr>
              <w:jc w:val="right"/>
              <w:rPr>
                <w:rFonts w:asciiTheme="majorHAnsi" w:hAnsiTheme="majorHAnsi" w:cs="Arial"/>
                <w:sz w:val="20"/>
                <w:szCs w:val="20"/>
                <w:lang w:eastAsia="tr-TR"/>
              </w:rPr>
            </w:pPr>
            <w:r>
              <w:rPr>
                <w:rFonts w:asciiTheme="majorHAnsi" w:hAnsiTheme="majorHAnsi" w:cs="Arial"/>
                <w:sz w:val="20"/>
                <w:szCs w:val="20"/>
                <w:lang w:eastAsia="tr-TR"/>
              </w:rPr>
              <w:t>88.321.452.674</w:t>
            </w:r>
          </w:p>
        </w:tc>
        <w:tc>
          <w:tcPr>
            <w:tcW w:w="960" w:type="dxa"/>
            <w:tcBorders>
              <w:top w:val="nil"/>
              <w:left w:val="nil"/>
              <w:bottom w:val="nil"/>
              <w:right w:val="nil"/>
            </w:tcBorders>
            <w:shd w:val="clear" w:color="auto" w:fill="auto"/>
            <w:noWrap/>
            <w:vAlign w:val="bottom"/>
            <w:hideMark/>
          </w:tcPr>
          <w:p w:rsidR="004B75F0" w:rsidRPr="00E60BE4" w:rsidRDefault="00417C90" w:rsidP="00384FC3">
            <w:pPr>
              <w:jc w:val="right"/>
              <w:rPr>
                <w:rFonts w:asciiTheme="majorHAnsi" w:hAnsiTheme="majorHAnsi" w:cs="Arial"/>
                <w:sz w:val="20"/>
                <w:szCs w:val="20"/>
                <w:lang w:eastAsia="tr-TR"/>
              </w:rPr>
            </w:pPr>
            <w:r>
              <w:rPr>
                <w:rFonts w:asciiTheme="majorHAnsi" w:hAnsiTheme="majorHAnsi" w:cs="Arial"/>
                <w:sz w:val="20"/>
                <w:szCs w:val="20"/>
                <w:lang w:eastAsia="tr-TR"/>
              </w:rPr>
              <w:t>50</w:t>
            </w:r>
            <w:r w:rsidR="004B75F0" w:rsidRPr="00E60BE4">
              <w:rPr>
                <w:rFonts w:asciiTheme="majorHAnsi" w:hAnsiTheme="majorHAnsi" w:cs="Arial"/>
                <w:sz w:val="20"/>
                <w:szCs w:val="20"/>
                <w:lang w:eastAsia="tr-TR"/>
              </w:rPr>
              <w:t>%</w:t>
            </w:r>
          </w:p>
        </w:tc>
      </w:tr>
      <w:tr w:rsidR="004B75F0" w:rsidRPr="00E60BE4" w:rsidTr="00384FC3">
        <w:trPr>
          <w:trHeight w:val="255"/>
        </w:trPr>
        <w:tc>
          <w:tcPr>
            <w:tcW w:w="1580" w:type="dxa"/>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r w:rsidRPr="00E60BE4">
              <w:rPr>
                <w:rFonts w:asciiTheme="majorHAnsi" w:hAnsiTheme="majorHAnsi" w:cs="Arial"/>
                <w:sz w:val="20"/>
                <w:szCs w:val="20"/>
                <w:lang w:eastAsia="tr-TR"/>
              </w:rPr>
              <w:t>Daire sayısı</w:t>
            </w:r>
          </w:p>
        </w:tc>
        <w:tc>
          <w:tcPr>
            <w:tcW w:w="1540" w:type="dxa"/>
            <w:tcBorders>
              <w:top w:val="nil"/>
              <w:left w:val="nil"/>
              <w:bottom w:val="nil"/>
              <w:right w:val="nil"/>
            </w:tcBorders>
            <w:shd w:val="clear" w:color="auto" w:fill="auto"/>
            <w:noWrap/>
            <w:vAlign w:val="bottom"/>
            <w:hideMark/>
          </w:tcPr>
          <w:p w:rsidR="004B75F0" w:rsidRPr="00E60BE4" w:rsidRDefault="00047F7E" w:rsidP="00384FC3">
            <w:pPr>
              <w:jc w:val="right"/>
              <w:rPr>
                <w:rFonts w:asciiTheme="majorHAnsi" w:hAnsiTheme="majorHAnsi" w:cs="Arial"/>
                <w:sz w:val="20"/>
                <w:szCs w:val="20"/>
                <w:lang w:eastAsia="tr-TR"/>
              </w:rPr>
            </w:pPr>
            <w:r>
              <w:rPr>
                <w:rFonts w:asciiTheme="majorHAnsi" w:hAnsiTheme="majorHAnsi" w:cs="Arial"/>
                <w:sz w:val="20"/>
                <w:szCs w:val="20"/>
                <w:lang w:eastAsia="tr-TR"/>
              </w:rPr>
              <w:t>412.346</w:t>
            </w:r>
          </w:p>
        </w:tc>
        <w:tc>
          <w:tcPr>
            <w:tcW w:w="1540" w:type="dxa"/>
            <w:tcBorders>
              <w:top w:val="nil"/>
              <w:left w:val="nil"/>
              <w:bottom w:val="nil"/>
              <w:right w:val="nil"/>
            </w:tcBorders>
            <w:shd w:val="clear" w:color="auto" w:fill="auto"/>
            <w:noWrap/>
            <w:vAlign w:val="bottom"/>
            <w:hideMark/>
          </w:tcPr>
          <w:p w:rsidR="004B75F0" w:rsidRPr="00E60BE4" w:rsidRDefault="00047F7E" w:rsidP="00384FC3">
            <w:pPr>
              <w:jc w:val="right"/>
              <w:rPr>
                <w:rFonts w:asciiTheme="majorHAnsi" w:hAnsiTheme="majorHAnsi" w:cs="Arial"/>
                <w:sz w:val="20"/>
                <w:szCs w:val="20"/>
                <w:lang w:eastAsia="tr-TR"/>
              </w:rPr>
            </w:pPr>
            <w:r>
              <w:rPr>
                <w:rFonts w:asciiTheme="majorHAnsi" w:hAnsiTheme="majorHAnsi" w:cs="Arial"/>
                <w:sz w:val="20"/>
                <w:szCs w:val="20"/>
                <w:lang w:eastAsia="tr-TR"/>
              </w:rPr>
              <w:t>525.520</w:t>
            </w:r>
          </w:p>
        </w:tc>
        <w:tc>
          <w:tcPr>
            <w:tcW w:w="960" w:type="dxa"/>
            <w:tcBorders>
              <w:top w:val="nil"/>
              <w:left w:val="nil"/>
              <w:bottom w:val="nil"/>
              <w:right w:val="nil"/>
            </w:tcBorders>
            <w:shd w:val="clear" w:color="auto" w:fill="auto"/>
            <w:noWrap/>
            <w:vAlign w:val="bottom"/>
            <w:hideMark/>
          </w:tcPr>
          <w:p w:rsidR="004B75F0" w:rsidRPr="00E60BE4" w:rsidRDefault="00047F7E" w:rsidP="00384FC3">
            <w:pPr>
              <w:jc w:val="right"/>
              <w:rPr>
                <w:rFonts w:asciiTheme="majorHAnsi" w:hAnsiTheme="majorHAnsi" w:cs="Arial"/>
                <w:sz w:val="20"/>
                <w:szCs w:val="20"/>
                <w:lang w:eastAsia="tr-TR"/>
              </w:rPr>
            </w:pPr>
            <w:r>
              <w:rPr>
                <w:rFonts w:asciiTheme="majorHAnsi" w:hAnsiTheme="majorHAnsi" w:cs="Arial"/>
                <w:sz w:val="20"/>
                <w:szCs w:val="20"/>
                <w:lang w:eastAsia="tr-TR"/>
              </w:rPr>
              <w:t>27</w:t>
            </w:r>
            <w:r w:rsidR="004B75F0" w:rsidRPr="00E60BE4">
              <w:rPr>
                <w:rFonts w:asciiTheme="majorHAnsi" w:hAnsiTheme="majorHAnsi" w:cs="Arial"/>
                <w:sz w:val="20"/>
                <w:szCs w:val="20"/>
                <w:lang w:eastAsia="tr-TR"/>
              </w:rPr>
              <w:t>%</w:t>
            </w:r>
          </w:p>
        </w:tc>
      </w:tr>
    </w:tbl>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p>
    <w:tbl>
      <w:tblPr>
        <w:tblW w:w="5620" w:type="dxa"/>
        <w:tblInd w:w="55" w:type="dxa"/>
        <w:tblCellMar>
          <w:left w:w="70" w:type="dxa"/>
          <w:right w:w="70" w:type="dxa"/>
        </w:tblCellMar>
        <w:tblLook w:val="04A0" w:firstRow="1" w:lastRow="0" w:firstColumn="1" w:lastColumn="0" w:noHBand="0" w:noVBand="1"/>
      </w:tblPr>
      <w:tblGrid>
        <w:gridCol w:w="1571"/>
        <w:gridCol w:w="1549"/>
        <w:gridCol w:w="1540"/>
        <w:gridCol w:w="960"/>
      </w:tblGrid>
      <w:tr w:rsidR="004B75F0" w:rsidRPr="00E60BE4" w:rsidTr="00384FC3">
        <w:trPr>
          <w:trHeight w:val="255"/>
        </w:trPr>
        <w:tc>
          <w:tcPr>
            <w:tcW w:w="3120" w:type="dxa"/>
            <w:gridSpan w:val="2"/>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b/>
                <w:sz w:val="20"/>
                <w:szCs w:val="20"/>
                <w:lang w:eastAsia="tr-TR"/>
              </w:rPr>
            </w:pPr>
            <w:r w:rsidRPr="00E60BE4">
              <w:rPr>
                <w:rFonts w:asciiTheme="majorHAnsi" w:hAnsiTheme="majorHAnsi" w:cs="Arial"/>
                <w:b/>
                <w:sz w:val="20"/>
                <w:szCs w:val="20"/>
                <w:lang w:eastAsia="tr-TR"/>
              </w:rPr>
              <w:t>Yapı Kullanma İzin Belgesi</w:t>
            </w:r>
          </w:p>
        </w:tc>
        <w:tc>
          <w:tcPr>
            <w:tcW w:w="1540" w:type="dxa"/>
            <w:tcBorders>
              <w:top w:val="nil"/>
              <w:left w:val="nil"/>
              <w:bottom w:val="nil"/>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p>
        </w:tc>
        <w:tc>
          <w:tcPr>
            <w:tcW w:w="960" w:type="dxa"/>
            <w:tcBorders>
              <w:top w:val="nil"/>
              <w:left w:val="nil"/>
              <w:bottom w:val="nil"/>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p>
        </w:tc>
      </w:tr>
      <w:tr w:rsidR="004B75F0" w:rsidRPr="00E60BE4" w:rsidTr="00384FC3">
        <w:trPr>
          <w:trHeight w:val="255"/>
        </w:trPr>
        <w:tc>
          <w:tcPr>
            <w:tcW w:w="1571" w:type="dxa"/>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p>
        </w:tc>
        <w:tc>
          <w:tcPr>
            <w:tcW w:w="1549" w:type="dxa"/>
            <w:tcBorders>
              <w:top w:val="nil"/>
              <w:left w:val="nil"/>
              <w:bottom w:val="nil"/>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p>
        </w:tc>
        <w:tc>
          <w:tcPr>
            <w:tcW w:w="1540" w:type="dxa"/>
            <w:tcBorders>
              <w:top w:val="nil"/>
              <w:left w:val="nil"/>
              <w:bottom w:val="nil"/>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p>
        </w:tc>
        <w:tc>
          <w:tcPr>
            <w:tcW w:w="960" w:type="dxa"/>
            <w:tcBorders>
              <w:top w:val="nil"/>
              <w:left w:val="nil"/>
              <w:bottom w:val="nil"/>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p>
        </w:tc>
      </w:tr>
      <w:tr w:rsidR="004B75F0" w:rsidRPr="00E60BE4" w:rsidTr="00384FC3">
        <w:trPr>
          <w:trHeight w:val="255"/>
        </w:trPr>
        <w:tc>
          <w:tcPr>
            <w:tcW w:w="1571" w:type="dxa"/>
            <w:tcBorders>
              <w:top w:val="nil"/>
              <w:left w:val="nil"/>
              <w:bottom w:val="single" w:sz="4" w:space="0" w:color="auto"/>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r w:rsidRPr="00E60BE4">
              <w:rPr>
                <w:rFonts w:asciiTheme="majorHAnsi" w:hAnsiTheme="majorHAnsi" w:cs="Arial"/>
                <w:sz w:val="20"/>
                <w:szCs w:val="20"/>
                <w:lang w:eastAsia="tr-TR"/>
              </w:rPr>
              <w:t> </w:t>
            </w:r>
          </w:p>
        </w:tc>
        <w:tc>
          <w:tcPr>
            <w:tcW w:w="1549" w:type="dxa"/>
            <w:tcBorders>
              <w:top w:val="nil"/>
              <w:left w:val="nil"/>
              <w:bottom w:val="single" w:sz="4" w:space="0" w:color="auto"/>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r w:rsidRPr="00E60BE4">
              <w:rPr>
                <w:rFonts w:asciiTheme="majorHAnsi" w:hAnsiTheme="majorHAnsi" w:cs="Arial"/>
                <w:sz w:val="20"/>
                <w:szCs w:val="20"/>
                <w:lang w:eastAsia="tr-TR"/>
              </w:rPr>
              <w:t>2013 1Ç</w:t>
            </w:r>
          </w:p>
        </w:tc>
        <w:tc>
          <w:tcPr>
            <w:tcW w:w="1540" w:type="dxa"/>
            <w:tcBorders>
              <w:top w:val="nil"/>
              <w:left w:val="nil"/>
              <w:bottom w:val="single" w:sz="4" w:space="0" w:color="auto"/>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r w:rsidRPr="00E60BE4">
              <w:rPr>
                <w:rFonts w:asciiTheme="majorHAnsi" w:hAnsiTheme="majorHAnsi" w:cs="Arial"/>
                <w:sz w:val="20"/>
                <w:szCs w:val="20"/>
                <w:lang w:eastAsia="tr-TR"/>
              </w:rPr>
              <w:t>2014 1Ç</w:t>
            </w:r>
          </w:p>
        </w:tc>
        <w:tc>
          <w:tcPr>
            <w:tcW w:w="960" w:type="dxa"/>
            <w:tcBorders>
              <w:top w:val="nil"/>
              <w:left w:val="nil"/>
              <w:bottom w:val="single" w:sz="4" w:space="0" w:color="auto"/>
              <w:right w:val="nil"/>
            </w:tcBorders>
            <w:shd w:val="clear" w:color="auto" w:fill="auto"/>
            <w:noWrap/>
            <w:vAlign w:val="bottom"/>
            <w:hideMark/>
          </w:tcPr>
          <w:p w:rsidR="004B75F0" w:rsidRPr="00E60BE4" w:rsidRDefault="004B75F0" w:rsidP="00384FC3">
            <w:pPr>
              <w:jc w:val="right"/>
              <w:rPr>
                <w:rFonts w:asciiTheme="majorHAnsi" w:hAnsiTheme="majorHAnsi" w:cs="Arial"/>
                <w:sz w:val="20"/>
                <w:szCs w:val="20"/>
                <w:lang w:eastAsia="tr-TR"/>
              </w:rPr>
            </w:pPr>
            <w:r w:rsidRPr="00E60BE4">
              <w:rPr>
                <w:rFonts w:asciiTheme="majorHAnsi" w:hAnsiTheme="majorHAnsi" w:cs="Arial"/>
                <w:sz w:val="20"/>
                <w:szCs w:val="20"/>
                <w:lang w:eastAsia="tr-TR"/>
              </w:rPr>
              <w:t>Fark %</w:t>
            </w:r>
          </w:p>
        </w:tc>
      </w:tr>
      <w:tr w:rsidR="004B75F0" w:rsidRPr="00E60BE4" w:rsidTr="00384FC3">
        <w:trPr>
          <w:trHeight w:val="255"/>
        </w:trPr>
        <w:tc>
          <w:tcPr>
            <w:tcW w:w="1571" w:type="dxa"/>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r w:rsidRPr="00E60BE4">
              <w:rPr>
                <w:rFonts w:asciiTheme="majorHAnsi" w:hAnsiTheme="majorHAnsi" w:cs="Arial"/>
                <w:sz w:val="20"/>
                <w:szCs w:val="20"/>
                <w:lang w:eastAsia="tr-TR"/>
              </w:rPr>
              <w:t>Bina Sayısı</w:t>
            </w:r>
          </w:p>
        </w:tc>
        <w:tc>
          <w:tcPr>
            <w:tcW w:w="1549" w:type="dxa"/>
            <w:tcBorders>
              <w:top w:val="nil"/>
              <w:left w:val="nil"/>
              <w:bottom w:val="nil"/>
              <w:right w:val="nil"/>
            </w:tcBorders>
            <w:shd w:val="clear" w:color="auto" w:fill="auto"/>
            <w:noWrap/>
            <w:vAlign w:val="bottom"/>
            <w:hideMark/>
          </w:tcPr>
          <w:p w:rsidR="004B75F0" w:rsidRPr="00E60BE4" w:rsidRDefault="00047F7E" w:rsidP="00384FC3">
            <w:pPr>
              <w:jc w:val="right"/>
              <w:rPr>
                <w:rFonts w:asciiTheme="majorHAnsi" w:hAnsiTheme="majorHAnsi" w:cs="Arial"/>
                <w:sz w:val="20"/>
                <w:szCs w:val="20"/>
                <w:lang w:eastAsia="tr-TR"/>
              </w:rPr>
            </w:pPr>
            <w:r>
              <w:rPr>
                <w:rFonts w:asciiTheme="majorHAnsi" w:hAnsiTheme="majorHAnsi" w:cs="Arial"/>
                <w:sz w:val="20"/>
                <w:szCs w:val="20"/>
                <w:lang w:eastAsia="tr-TR"/>
              </w:rPr>
              <w:t>52.330</w:t>
            </w:r>
          </w:p>
        </w:tc>
        <w:tc>
          <w:tcPr>
            <w:tcW w:w="1540" w:type="dxa"/>
            <w:tcBorders>
              <w:top w:val="nil"/>
              <w:left w:val="nil"/>
              <w:bottom w:val="nil"/>
              <w:right w:val="nil"/>
            </w:tcBorders>
            <w:shd w:val="clear" w:color="auto" w:fill="auto"/>
            <w:noWrap/>
            <w:vAlign w:val="bottom"/>
            <w:hideMark/>
          </w:tcPr>
          <w:p w:rsidR="004B75F0" w:rsidRPr="00E60BE4" w:rsidRDefault="00047F7E" w:rsidP="00384FC3">
            <w:pPr>
              <w:jc w:val="right"/>
              <w:rPr>
                <w:rFonts w:asciiTheme="majorHAnsi" w:hAnsiTheme="majorHAnsi" w:cs="Arial"/>
                <w:sz w:val="20"/>
                <w:szCs w:val="20"/>
                <w:lang w:eastAsia="tr-TR"/>
              </w:rPr>
            </w:pPr>
            <w:r>
              <w:rPr>
                <w:rFonts w:asciiTheme="majorHAnsi" w:hAnsiTheme="majorHAnsi" w:cs="Arial"/>
                <w:sz w:val="20"/>
                <w:szCs w:val="20"/>
                <w:lang w:eastAsia="tr-TR"/>
              </w:rPr>
              <w:t>70.395</w:t>
            </w:r>
          </w:p>
        </w:tc>
        <w:tc>
          <w:tcPr>
            <w:tcW w:w="960" w:type="dxa"/>
            <w:tcBorders>
              <w:top w:val="nil"/>
              <w:left w:val="nil"/>
              <w:bottom w:val="nil"/>
              <w:right w:val="nil"/>
            </w:tcBorders>
            <w:shd w:val="clear" w:color="auto" w:fill="auto"/>
            <w:noWrap/>
            <w:vAlign w:val="bottom"/>
            <w:hideMark/>
          </w:tcPr>
          <w:p w:rsidR="004B75F0" w:rsidRPr="00E60BE4" w:rsidRDefault="00047F7E" w:rsidP="00384FC3">
            <w:pPr>
              <w:jc w:val="right"/>
              <w:rPr>
                <w:rFonts w:asciiTheme="majorHAnsi" w:hAnsiTheme="majorHAnsi" w:cs="Arial"/>
                <w:sz w:val="20"/>
                <w:szCs w:val="20"/>
                <w:lang w:eastAsia="tr-TR"/>
              </w:rPr>
            </w:pPr>
            <w:r>
              <w:rPr>
                <w:rFonts w:asciiTheme="majorHAnsi" w:hAnsiTheme="majorHAnsi" w:cs="Arial"/>
                <w:sz w:val="20"/>
                <w:szCs w:val="20"/>
                <w:lang w:eastAsia="tr-TR"/>
              </w:rPr>
              <w:t>35</w:t>
            </w:r>
            <w:r w:rsidR="004B75F0" w:rsidRPr="00E60BE4">
              <w:rPr>
                <w:rFonts w:asciiTheme="majorHAnsi" w:hAnsiTheme="majorHAnsi" w:cs="Arial"/>
                <w:sz w:val="20"/>
                <w:szCs w:val="20"/>
                <w:lang w:eastAsia="tr-TR"/>
              </w:rPr>
              <w:t>%</w:t>
            </w:r>
          </w:p>
        </w:tc>
      </w:tr>
      <w:tr w:rsidR="004B75F0" w:rsidRPr="00E60BE4" w:rsidTr="00384FC3">
        <w:trPr>
          <w:trHeight w:val="255"/>
        </w:trPr>
        <w:tc>
          <w:tcPr>
            <w:tcW w:w="1571" w:type="dxa"/>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r w:rsidRPr="00E60BE4">
              <w:rPr>
                <w:rFonts w:asciiTheme="majorHAnsi" w:hAnsiTheme="majorHAnsi" w:cs="Arial"/>
                <w:sz w:val="20"/>
                <w:szCs w:val="20"/>
                <w:lang w:eastAsia="tr-TR"/>
              </w:rPr>
              <w:t>Yüzölçümü (m²)</w:t>
            </w:r>
          </w:p>
        </w:tc>
        <w:tc>
          <w:tcPr>
            <w:tcW w:w="1549" w:type="dxa"/>
            <w:tcBorders>
              <w:top w:val="nil"/>
              <w:left w:val="nil"/>
              <w:bottom w:val="nil"/>
              <w:right w:val="nil"/>
            </w:tcBorders>
            <w:shd w:val="clear" w:color="auto" w:fill="auto"/>
            <w:noWrap/>
            <w:vAlign w:val="bottom"/>
            <w:hideMark/>
          </w:tcPr>
          <w:p w:rsidR="004B75F0" w:rsidRPr="00E60BE4" w:rsidRDefault="00047134" w:rsidP="00384FC3">
            <w:pPr>
              <w:jc w:val="right"/>
              <w:rPr>
                <w:rFonts w:asciiTheme="majorHAnsi" w:hAnsiTheme="majorHAnsi" w:cs="Arial"/>
                <w:sz w:val="20"/>
                <w:szCs w:val="20"/>
                <w:lang w:eastAsia="tr-TR"/>
              </w:rPr>
            </w:pPr>
            <w:r>
              <w:rPr>
                <w:rFonts w:asciiTheme="majorHAnsi" w:hAnsiTheme="majorHAnsi" w:cs="Arial"/>
                <w:sz w:val="20"/>
                <w:szCs w:val="20"/>
                <w:lang w:eastAsia="tr-TR"/>
              </w:rPr>
              <w:t>59.213.819</w:t>
            </w:r>
          </w:p>
        </w:tc>
        <w:tc>
          <w:tcPr>
            <w:tcW w:w="1540" w:type="dxa"/>
            <w:tcBorders>
              <w:top w:val="nil"/>
              <w:left w:val="nil"/>
              <w:bottom w:val="nil"/>
              <w:right w:val="nil"/>
            </w:tcBorders>
            <w:shd w:val="clear" w:color="auto" w:fill="auto"/>
            <w:noWrap/>
            <w:vAlign w:val="bottom"/>
            <w:hideMark/>
          </w:tcPr>
          <w:p w:rsidR="004B75F0" w:rsidRPr="00E60BE4" w:rsidRDefault="00047134" w:rsidP="00384FC3">
            <w:pPr>
              <w:jc w:val="right"/>
              <w:rPr>
                <w:rFonts w:asciiTheme="majorHAnsi" w:hAnsiTheme="majorHAnsi" w:cs="Arial"/>
                <w:sz w:val="20"/>
                <w:szCs w:val="20"/>
                <w:lang w:eastAsia="tr-TR"/>
              </w:rPr>
            </w:pPr>
            <w:r>
              <w:rPr>
                <w:rFonts w:asciiTheme="majorHAnsi" w:hAnsiTheme="majorHAnsi" w:cs="Arial"/>
                <w:sz w:val="20"/>
                <w:szCs w:val="20"/>
                <w:lang w:eastAsia="tr-TR"/>
              </w:rPr>
              <w:t>82.851.043</w:t>
            </w:r>
          </w:p>
        </w:tc>
        <w:tc>
          <w:tcPr>
            <w:tcW w:w="960" w:type="dxa"/>
            <w:tcBorders>
              <w:top w:val="nil"/>
              <w:left w:val="nil"/>
              <w:bottom w:val="nil"/>
              <w:right w:val="nil"/>
            </w:tcBorders>
            <w:shd w:val="clear" w:color="auto" w:fill="auto"/>
            <w:noWrap/>
            <w:vAlign w:val="bottom"/>
            <w:hideMark/>
          </w:tcPr>
          <w:p w:rsidR="004B75F0" w:rsidRPr="00E60BE4" w:rsidRDefault="00047134" w:rsidP="00384FC3">
            <w:pPr>
              <w:jc w:val="right"/>
              <w:rPr>
                <w:rFonts w:asciiTheme="majorHAnsi" w:hAnsiTheme="majorHAnsi" w:cs="Arial"/>
                <w:sz w:val="20"/>
                <w:szCs w:val="20"/>
                <w:lang w:eastAsia="tr-TR"/>
              </w:rPr>
            </w:pPr>
            <w:r>
              <w:rPr>
                <w:rFonts w:asciiTheme="majorHAnsi" w:hAnsiTheme="majorHAnsi" w:cs="Arial"/>
                <w:sz w:val="20"/>
                <w:szCs w:val="20"/>
                <w:lang w:eastAsia="tr-TR"/>
              </w:rPr>
              <w:t>40</w:t>
            </w:r>
            <w:r w:rsidR="004B75F0" w:rsidRPr="00E60BE4">
              <w:rPr>
                <w:rFonts w:asciiTheme="majorHAnsi" w:hAnsiTheme="majorHAnsi" w:cs="Arial"/>
                <w:sz w:val="20"/>
                <w:szCs w:val="20"/>
                <w:lang w:eastAsia="tr-TR"/>
              </w:rPr>
              <w:t>%</w:t>
            </w:r>
          </w:p>
        </w:tc>
      </w:tr>
      <w:tr w:rsidR="004B75F0" w:rsidRPr="00E60BE4" w:rsidTr="00384FC3">
        <w:trPr>
          <w:trHeight w:val="255"/>
        </w:trPr>
        <w:tc>
          <w:tcPr>
            <w:tcW w:w="1571" w:type="dxa"/>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r w:rsidRPr="00E60BE4">
              <w:rPr>
                <w:rFonts w:asciiTheme="majorHAnsi" w:hAnsiTheme="majorHAnsi" w:cs="Arial"/>
                <w:sz w:val="20"/>
                <w:szCs w:val="20"/>
                <w:lang w:eastAsia="tr-TR"/>
              </w:rPr>
              <w:t>Değer (TL)</w:t>
            </w:r>
          </w:p>
        </w:tc>
        <w:tc>
          <w:tcPr>
            <w:tcW w:w="1549" w:type="dxa"/>
            <w:tcBorders>
              <w:top w:val="nil"/>
              <w:left w:val="nil"/>
              <w:bottom w:val="nil"/>
              <w:right w:val="nil"/>
            </w:tcBorders>
            <w:shd w:val="clear" w:color="auto" w:fill="auto"/>
            <w:noWrap/>
            <w:vAlign w:val="bottom"/>
            <w:hideMark/>
          </w:tcPr>
          <w:p w:rsidR="004B75F0" w:rsidRPr="00E60BE4" w:rsidRDefault="00047134" w:rsidP="00384FC3">
            <w:pPr>
              <w:jc w:val="right"/>
              <w:rPr>
                <w:rFonts w:asciiTheme="majorHAnsi" w:hAnsiTheme="majorHAnsi" w:cs="Arial"/>
                <w:sz w:val="20"/>
                <w:szCs w:val="20"/>
                <w:lang w:eastAsia="tr-TR"/>
              </w:rPr>
            </w:pPr>
            <w:r>
              <w:rPr>
                <w:rFonts w:asciiTheme="majorHAnsi" w:hAnsiTheme="majorHAnsi" w:cs="Arial"/>
                <w:sz w:val="20"/>
                <w:szCs w:val="20"/>
                <w:lang w:eastAsia="tr-TR"/>
              </w:rPr>
              <w:t>41.028.962.555</w:t>
            </w:r>
          </w:p>
        </w:tc>
        <w:tc>
          <w:tcPr>
            <w:tcW w:w="1540" w:type="dxa"/>
            <w:tcBorders>
              <w:top w:val="nil"/>
              <w:left w:val="nil"/>
              <w:bottom w:val="nil"/>
              <w:right w:val="nil"/>
            </w:tcBorders>
            <w:shd w:val="clear" w:color="auto" w:fill="auto"/>
            <w:noWrap/>
            <w:vAlign w:val="bottom"/>
            <w:hideMark/>
          </w:tcPr>
          <w:p w:rsidR="004B75F0" w:rsidRPr="00E60BE4" w:rsidRDefault="00047134" w:rsidP="00384FC3">
            <w:pPr>
              <w:jc w:val="right"/>
              <w:rPr>
                <w:rFonts w:asciiTheme="majorHAnsi" w:hAnsiTheme="majorHAnsi" w:cs="Arial"/>
                <w:sz w:val="20"/>
                <w:szCs w:val="20"/>
                <w:lang w:eastAsia="tr-TR"/>
              </w:rPr>
            </w:pPr>
            <w:r>
              <w:rPr>
                <w:rFonts w:asciiTheme="majorHAnsi" w:hAnsiTheme="majorHAnsi" w:cs="Arial"/>
                <w:sz w:val="20"/>
                <w:szCs w:val="20"/>
                <w:lang w:eastAsia="tr-TR"/>
              </w:rPr>
              <w:t>64.123.906.931</w:t>
            </w:r>
          </w:p>
        </w:tc>
        <w:tc>
          <w:tcPr>
            <w:tcW w:w="960" w:type="dxa"/>
            <w:tcBorders>
              <w:top w:val="nil"/>
              <w:left w:val="nil"/>
              <w:bottom w:val="nil"/>
              <w:right w:val="nil"/>
            </w:tcBorders>
            <w:shd w:val="clear" w:color="auto" w:fill="auto"/>
            <w:noWrap/>
            <w:vAlign w:val="bottom"/>
            <w:hideMark/>
          </w:tcPr>
          <w:p w:rsidR="004B75F0" w:rsidRPr="00E60BE4" w:rsidRDefault="00047134" w:rsidP="00384FC3">
            <w:pPr>
              <w:jc w:val="right"/>
              <w:rPr>
                <w:rFonts w:asciiTheme="majorHAnsi" w:hAnsiTheme="majorHAnsi" w:cs="Arial"/>
                <w:sz w:val="20"/>
                <w:szCs w:val="20"/>
                <w:lang w:eastAsia="tr-TR"/>
              </w:rPr>
            </w:pPr>
            <w:r>
              <w:rPr>
                <w:rFonts w:asciiTheme="majorHAnsi" w:hAnsiTheme="majorHAnsi" w:cs="Arial"/>
                <w:sz w:val="20"/>
                <w:szCs w:val="20"/>
                <w:lang w:eastAsia="tr-TR"/>
              </w:rPr>
              <w:t>56</w:t>
            </w:r>
            <w:r w:rsidR="004B75F0" w:rsidRPr="00E60BE4">
              <w:rPr>
                <w:rFonts w:asciiTheme="majorHAnsi" w:hAnsiTheme="majorHAnsi" w:cs="Arial"/>
                <w:sz w:val="20"/>
                <w:szCs w:val="20"/>
                <w:lang w:eastAsia="tr-TR"/>
              </w:rPr>
              <w:t>%</w:t>
            </w:r>
          </w:p>
        </w:tc>
      </w:tr>
      <w:tr w:rsidR="004B75F0" w:rsidRPr="00E60BE4" w:rsidTr="00384FC3">
        <w:trPr>
          <w:trHeight w:val="255"/>
        </w:trPr>
        <w:tc>
          <w:tcPr>
            <w:tcW w:w="1571" w:type="dxa"/>
            <w:tcBorders>
              <w:top w:val="nil"/>
              <w:left w:val="nil"/>
              <w:bottom w:val="nil"/>
              <w:right w:val="nil"/>
            </w:tcBorders>
            <w:shd w:val="clear" w:color="auto" w:fill="auto"/>
            <w:noWrap/>
            <w:vAlign w:val="bottom"/>
            <w:hideMark/>
          </w:tcPr>
          <w:p w:rsidR="004B75F0" w:rsidRPr="00E60BE4" w:rsidRDefault="004B75F0" w:rsidP="00384FC3">
            <w:pPr>
              <w:rPr>
                <w:rFonts w:asciiTheme="majorHAnsi" w:hAnsiTheme="majorHAnsi" w:cs="Arial"/>
                <w:sz w:val="20"/>
                <w:szCs w:val="20"/>
                <w:lang w:eastAsia="tr-TR"/>
              </w:rPr>
            </w:pPr>
            <w:r w:rsidRPr="00E60BE4">
              <w:rPr>
                <w:rFonts w:asciiTheme="majorHAnsi" w:hAnsiTheme="majorHAnsi" w:cs="Arial"/>
                <w:sz w:val="20"/>
                <w:szCs w:val="20"/>
                <w:lang w:eastAsia="tr-TR"/>
              </w:rPr>
              <w:t>Daire sayısı</w:t>
            </w:r>
          </w:p>
        </w:tc>
        <w:tc>
          <w:tcPr>
            <w:tcW w:w="1549" w:type="dxa"/>
            <w:tcBorders>
              <w:top w:val="nil"/>
              <w:left w:val="nil"/>
              <w:bottom w:val="nil"/>
              <w:right w:val="nil"/>
            </w:tcBorders>
            <w:shd w:val="clear" w:color="auto" w:fill="auto"/>
            <w:noWrap/>
            <w:vAlign w:val="bottom"/>
            <w:hideMark/>
          </w:tcPr>
          <w:p w:rsidR="004B75F0" w:rsidRPr="00E60BE4" w:rsidRDefault="00047134" w:rsidP="00384FC3">
            <w:pPr>
              <w:jc w:val="right"/>
              <w:rPr>
                <w:rFonts w:asciiTheme="majorHAnsi" w:hAnsiTheme="majorHAnsi" w:cs="Arial"/>
                <w:sz w:val="20"/>
                <w:szCs w:val="20"/>
                <w:lang w:eastAsia="tr-TR"/>
              </w:rPr>
            </w:pPr>
            <w:r>
              <w:rPr>
                <w:rFonts w:asciiTheme="majorHAnsi" w:hAnsiTheme="majorHAnsi" w:cs="Arial"/>
                <w:sz w:val="20"/>
                <w:szCs w:val="20"/>
                <w:lang w:eastAsia="tr-TR"/>
              </w:rPr>
              <w:t>313.113</w:t>
            </w:r>
          </w:p>
        </w:tc>
        <w:tc>
          <w:tcPr>
            <w:tcW w:w="1540" w:type="dxa"/>
            <w:tcBorders>
              <w:top w:val="nil"/>
              <w:left w:val="nil"/>
              <w:bottom w:val="nil"/>
              <w:right w:val="nil"/>
            </w:tcBorders>
            <w:shd w:val="clear" w:color="auto" w:fill="auto"/>
            <w:noWrap/>
            <w:vAlign w:val="bottom"/>
            <w:hideMark/>
          </w:tcPr>
          <w:p w:rsidR="004B75F0" w:rsidRPr="00E60BE4" w:rsidRDefault="00047134" w:rsidP="00384FC3">
            <w:pPr>
              <w:jc w:val="right"/>
              <w:rPr>
                <w:rFonts w:asciiTheme="majorHAnsi" w:hAnsiTheme="majorHAnsi" w:cs="Arial"/>
                <w:sz w:val="20"/>
                <w:szCs w:val="20"/>
                <w:lang w:eastAsia="tr-TR"/>
              </w:rPr>
            </w:pPr>
            <w:r>
              <w:rPr>
                <w:rFonts w:asciiTheme="majorHAnsi" w:hAnsiTheme="majorHAnsi" w:cs="Arial"/>
                <w:sz w:val="20"/>
                <w:szCs w:val="20"/>
                <w:lang w:eastAsia="tr-TR"/>
              </w:rPr>
              <w:t>414.632</w:t>
            </w:r>
          </w:p>
        </w:tc>
        <w:tc>
          <w:tcPr>
            <w:tcW w:w="960" w:type="dxa"/>
            <w:tcBorders>
              <w:top w:val="nil"/>
              <w:left w:val="nil"/>
              <w:bottom w:val="nil"/>
              <w:right w:val="nil"/>
            </w:tcBorders>
            <w:shd w:val="clear" w:color="auto" w:fill="auto"/>
            <w:noWrap/>
            <w:vAlign w:val="bottom"/>
            <w:hideMark/>
          </w:tcPr>
          <w:p w:rsidR="004B75F0" w:rsidRPr="00E60BE4" w:rsidRDefault="00047134" w:rsidP="00384FC3">
            <w:pPr>
              <w:jc w:val="right"/>
              <w:rPr>
                <w:rFonts w:asciiTheme="majorHAnsi" w:hAnsiTheme="majorHAnsi" w:cs="Arial"/>
                <w:sz w:val="20"/>
                <w:szCs w:val="20"/>
                <w:lang w:eastAsia="tr-TR"/>
              </w:rPr>
            </w:pPr>
            <w:r>
              <w:rPr>
                <w:rFonts w:asciiTheme="majorHAnsi" w:hAnsiTheme="majorHAnsi" w:cs="Arial"/>
                <w:sz w:val="20"/>
                <w:szCs w:val="20"/>
                <w:lang w:eastAsia="tr-TR"/>
              </w:rPr>
              <w:t>32</w:t>
            </w:r>
            <w:r w:rsidR="004B75F0" w:rsidRPr="00E60BE4">
              <w:rPr>
                <w:rFonts w:asciiTheme="majorHAnsi" w:hAnsiTheme="majorHAnsi" w:cs="Arial"/>
                <w:sz w:val="20"/>
                <w:szCs w:val="20"/>
                <w:lang w:eastAsia="tr-TR"/>
              </w:rPr>
              <w:t>%</w:t>
            </w:r>
          </w:p>
        </w:tc>
      </w:tr>
    </w:tbl>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p>
    <w:p w:rsidR="004B75F0" w:rsidRPr="00A2175C" w:rsidRDefault="004B75F0" w:rsidP="004B75F0">
      <w:pPr>
        <w:jc w:val="both"/>
        <w:rPr>
          <w:rFonts w:asciiTheme="majorHAnsi" w:hAnsiTheme="majorHAnsi"/>
          <w:b/>
        </w:rPr>
      </w:pPr>
      <w:r w:rsidRPr="00A2175C">
        <w:rPr>
          <w:rFonts w:asciiTheme="majorHAnsi" w:hAnsiTheme="majorHAnsi"/>
          <w:b/>
        </w:rPr>
        <w:t>Ruhsat ve izinlerde yeni bir seviyeye</w:t>
      </w:r>
      <w:r>
        <w:rPr>
          <w:rFonts w:asciiTheme="majorHAnsi" w:hAnsiTheme="majorHAnsi"/>
          <w:b/>
        </w:rPr>
        <w:t xml:space="preserve"> mi geliyoruz</w:t>
      </w:r>
      <w:r w:rsidRPr="00A2175C">
        <w:rPr>
          <w:rFonts w:asciiTheme="majorHAnsi" w:hAnsiTheme="majorHAnsi"/>
          <w:b/>
        </w:rPr>
        <w:t xml:space="preserve">? </w:t>
      </w: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rFonts w:asciiTheme="majorHAnsi" w:hAnsiTheme="majorHAnsi"/>
        </w:rPr>
        <w:t>Yapı ruhsatlarında 2005-2009 yılları 500-600 bin adetlerle geçilmiş, 2010-2013 yıllarında ise ortalama 700-800 bin adet daire yapı ruhsatı almıştı.</w:t>
      </w: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noProof/>
          <w:lang w:eastAsia="tr-TR"/>
        </w:rPr>
        <w:drawing>
          <wp:inline distT="0" distB="0" distL="0" distR="0" wp14:anchorId="6CB2180B" wp14:editId="075156DC">
            <wp:extent cx="5829300" cy="3114675"/>
            <wp:effectExtent l="0" t="0" r="19050"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0B76" w:rsidRDefault="00B40B76" w:rsidP="004B75F0">
      <w:pPr>
        <w:jc w:val="both"/>
        <w:rPr>
          <w:rFonts w:asciiTheme="majorHAnsi" w:hAnsiTheme="majorHAnsi"/>
        </w:rPr>
      </w:pPr>
    </w:p>
    <w:p w:rsidR="00B40B76" w:rsidRDefault="00B40B76" w:rsidP="004B75F0">
      <w:pPr>
        <w:jc w:val="both"/>
        <w:rPr>
          <w:rFonts w:asciiTheme="majorHAnsi" w:hAnsiTheme="majorHAnsi"/>
        </w:rPr>
      </w:pP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rFonts w:asciiTheme="majorHAnsi" w:hAnsiTheme="majorHAnsi"/>
        </w:rPr>
        <w:t xml:space="preserve">2014 ilk </w:t>
      </w:r>
      <w:r w:rsidR="00B40B76">
        <w:rPr>
          <w:rFonts w:asciiTheme="majorHAnsi" w:hAnsiTheme="majorHAnsi"/>
        </w:rPr>
        <w:t>yarısında</w:t>
      </w:r>
      <w:r>
        <w:rPr>
          <w:rFonts w:asciiTheme="majorHAnsi" w:hAnsiTheme="majorHAnsi"/>
        </w:rPr>
        <w:t xml:space="preserve"> ortaya çıkan </w:t>
      </w:r>
      <w:r w:rsidR="00B40B76">
        <w:rPr>
          <w:rFonts w:asciiTheme="majorHAnsi" w:hAnsiTheme="majorHAnsi"/>
        </w:rPr>
        <w:t>525.520</w:t>
      </w:r>
      <w:r>
        <w:rPr>
          <w:rFonts w:asciiTheme="majorHAnsi" w:hAnsiTheme="majorHAnsi"/>
        </w:rPr>
        <w:t xml:space="preserve"> adet ruhsat sayısının önümüzdeki dönemlerde devam etmesi halinde yılsonu rakamının 1 milyon </w:t>
      </w:r>
      <w:proofErr w:type="gramStart"/>
      <w:r>
        <w:rPr>
          <w:rFonts w:asciiTheme="majorHAnsi" w:hAnsiTheme="majorHAnsi"/>
        </w:rPr>
        <w:t>adeti</w:t>
      </w:r>
      <w:proofErr w:type="gramEnd"/>
      <w:r>
        <w:rPr>
          <w:rFonts w:asciiTheme="majorHAnsi" w:hAnsiTheme="majorHAnsi"/>
        </w:rPr>
        <w:t xml:space="preserve"> geçmesi muhtemeldir. Bu rakam Türkiye için bir rekor olacaktır ve önümüzdeki yıllar için yeni bir seviyeye gelindiğine işaret ediyor olabilir.</w:t>
      </w: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rFonts w:asciiTheme="majorHAnsi" w:hAnsiTheme="majorHAnsi"/>
        </w:rPr>
        <w:t xml:space="preserve">Yapı kullanma izinlerinde ise geçtiğimiz yıllarda istikrarlı bir şekilde artarak 2013 sonunda 700 bin </w:t>
      </w:r>
      <w:proofErr w:type="gramStart"/>
      <w:r>
        <w:rPr>
          <w:rFonts w:asciiTheme="majorHAnsi" w:hAnsiTheme="majorHAnsi"/>
        </w:rPr>
        <w:t>adete</w:t>
      </w:r>
      <w:proofErr w:type="gramEnd"/>
      <w:r>
        <w:rPr>
          <w:rFonts w:asciiTheme="majorHAnsi" w:hAnsiTheme="majorHAnsi"/>
        </w:rPr>
        <w:t xml:space="preserve"> yaklaşmıştır.</w:t>
      </w: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noProof/>
          <w:lang w:eastAsia="tr-TR"/>
        </w:rPr>
        <w:drawing>
          <wp:inline distT="0" distB="0" distL="0" distR="0" wp14:anchorId="567DE8F2" wp14:editId="375E8081">
            <wp:extent cx="5838825" cy="301942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rFonts w:asciiTheme="majorHAnsi" w:hAnsiTheme="majorHAnsi"/>
        </w:rPr>
        <w:t xml:space="preserve">2014 ilk </w:t>
      </w:r>
      <w:r w:rsidR="00B40B76">
        <w:rPr>
          <w:rFonts w:asciiTheme="majorHAnsi" w:hAnsiTheme="majorHAnsi"/>
        </w:rPr>
        <w:t>yarısında</w:t>
      </w:r>
      <w:r>
        <w:rPr>
          <w:rFonts w:asciiTheme="majorHAnsi" w:hAnsiTheme="majorHAnsi"/>
        </w:rPr>
        <w:t xml:space="preserve"> ortaya çıkan </w:t>
      </w:r>
      <w:r w:rsidR="00B40B76">
        <w:rPr>
          <w:rFonts w:asciiTheme="majorHAnsi" w:hAnsiTheme="majorHAnsi"/>
        </w:rPr>
        <w:t>414.632</w:t>
      </w:r>
      <w:r>
        <w:rPr>
          <w:rFonts w:asciiTheme="majorHAnsi" w:hAnsiTheme="majorHAnsi"/>
        </w:rPr>
        <w:t xml:space="preserve"> adet yapı kullanma izni sayısının önümüzdeki dönemlerde devam etmesi halinde yılsonu rakamının </w:t>
      </w:r>
      <w:r w:rsidR="00B40B76">
        <w:rPr>
          <w:rFonts w:asciiTheme="majorHAnsi" w:hAnsiTheme="majorHAnsi"/>
        </w:rPr>
        <w:t>800.000</w:t>
      </w:r>
      <w:r>
        <w:rPr>
          <w:rFonts w:asciiTheme="majorHAnsi" w:hAnsiTheme="majorHAnsi"/>
        </w:rPr>
        <w:t xml:space="preserve"> </w:t>
      </w:r>
      <w:proofErr w:type="gramStart"/>
      <w:r>
        <w:rPr>
          <w:rFonts w:asciiTheme="majorHAnsi" w:hAnsiTheme="majorHAnsi"/>
        </w:rPr>
        <w:t>adeti</w:t>
      </w:r>
      <w:proofErr w:type="gramEnd"/>
      <w:r>
        <w:rPr>
          <w:rFonts w:asciiTheme="majorHAnsi" w:hAnsiTheme="majorHAnsi"/>
        </w:rPr>
        <w:t xml:space="preserve"> geçmesi muhtemeldir. Bu rakam da Türkiye için bir rekor olacaktır.</w:t>
      </w:r>
    </w:p>
    <w:p w:rsidR="004B75F0" w:rsidRDefault="004B75F0" w:rsidP="004B75F0">
      <w:pPr>
        <w:jc w:val="both"/>
        <w:rPr>
          <w:rFonts w:asciiTheme="majorHAnsi" w:hAnsiTheme="majorHAnsi"/>
        </w:rPr>
      </w:pPr>
    </w:p>
    <w:p w:rsidR="004B75F0" w:rsidRPr="00A2175C" w:rsidRDefault="004B75F0" w:rsidP="004B75F0">
      <w:pPr>
        <w:jc w:val="both"/>
        <w:rPr>
          <w:rFonts w:asciiTheme="majorHAnsi" w:hAnsiTheme="majorHAnsi"/>
          <w:b/>
        </w:rPr>
      </w:pPr>
      <w:r w:rsidRPr="00A2175C">
        <w:rPr>
          <w:rFonts w:asciiTheme="majorHAnsi" w:hAnsiTheme="majorHAnsi"/>
          <w:b/>
        </w:rPr>
        <w:t>Yapı kullanma izinleri yapı ruhsatına yetişiyor mu?</w:t>
      </w: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rFonts w:asciiTheme="majorHAnsi" w:hAnsiTheme="majorHAnsi"/>
        </w:rPr>
        <w:t xml:space="preserve">Teorik olarak yapı ruhsatı alan bir binanın iki yıl civarında bir sürede inşa edilmesi ve iki yıl gecikmeli olarak yapı kullanma izni sayılarının yapı ruhsatı sayılarını yakalaması gerekmektedir. Geçtiğimiz yıllarda genellikle yapı kullanma izni rakamları yapı ruhsatlarının altında kalmıştır. Bu durumun inşaat ruhsatı alınmasına rağmen inşa edilmeyen veya inşa edilmekle birlikte yapı kullanma izni alınmayan yapılardan kaynaklandığı düşünülmektedir. 2014 yılı ilk </w:t>
      </w:r>
      <w:r w:rsidR="00B40B76">
        <w:rPr>
          <w:rFonts w:asciiTheme="majorHAnsi" w:hAnsiTheme="majorHAnsi"/>
        </w:rPr>
        <w:t>yarısında</w:t>
      </w:r>
      <w:r>
        <w:rPr>
          <w:rFonts w:asciiTheme="majorHAnsi" w:hAnsiTheme="majorHAnsi"/>
        </w:rPr>
        <w:t xml:space="preserve"> </w:t>
      </w:r>
      <w:r w:rsidR="00B40B76">
        <w:rPr>
          <w:rFonts w:asciiTheme="majorHAnsi" w:hAnsiTheme="majorHAnsi"/>
        </w:rPr>
        <w:t>da</w:t>
      </w:r>
      <w:r>
        <w:rPr>
          <w:rFonts w:asciiTheme="majorHAnsi" w:hAnsiTheme="majorHAnsi"/>
        </w:rPr>
        <w:t xml:space="preserve"> yapı ruhsatı</w:t>
      </w:r>
      <w:r w:rsidR="00B40B76">
        <w:rPr>
          <w:rFonts w:asciiTheme="majorHAnsi" w:hAnsiTheme="majorHAnsi"/>
        </w:rPr>
        <w:t>nın</w:t>
      </w:r>
      <w:r>
        <w:rPr>
          <w:rFonts w:asciiTheme="majorHAnsi" w:hAnsiTheme="majorHAnsi"/>
        </w:rPr>
        <w:t xml:space="preserve"> sayıları</w:t>
      </w:r>
      <w:r w:rsidR="00B40B76">
        <w:rPr>
          <w:rFonts w:asciiTheme="majorHAnsi" w:hAnsiTheme="majorHAnsi"/>
        </w:rPr>
        <w:t>nın</w:t>
      </w:r>
      <w:r>
        <w:rPr>
          <w:rFonts w:asciiTheme="majorHAnsi" w:hAnsiTheme="majorHAnsi"/>
        </w:rPr>
        <w:t xml:space="preserve"> </w:t>
      </w:r>
      <w:r w:rsidR="00B40B76">
        <w:rPr>
          <w:rFonts w:asciiTheme="majorHAnsi" w:hAnsiTheme="majorHAnsi"/>
        </w:rPr>
        <w:t>yapı kullanma izni</w:t>
      </w:r>
      <w:r w:rsidR="00B40B76">
        <w:rPr>
          <w:rFonts w:asciiTheme="majorHAnsi" w:hAnsiTheme="majorHAnsi"/>
        </w:rPr>
        <w:t xml:space="preserve"> sayısından %26 daha fazla olduğu </w:t>
      </w:r>
      <w:proofErr w:type="gramStart"/>
      <w:r w:rsidR="00B40B76">
        <w:rPr>
          <w:rFonts w:asciiTheme="majorHAnsi" w:hAnsiTheme="majorHAnsi"/>
        </w:rPr>
        <w:t xml:space="preserve">görülmektedir </w:t>
      </w:r>
      <w:r>
        <w:rPr>
          <w:rFonts w:asciiTheme="majorHAnsi" w:hAnsiTheme="majorHAnsi"/>
        </w:rPr>
        <w:t>.</w:t>
      </w:r>
      <w:proofErr w:type="gramEnd"/>
      <w:r>
        <w:rPr>
          <w:rFonts w:asciiTheme="majorHAnsi" w:hAnsiTheme="majorHAnsi"/>
        </w:rPr>
        <w:t xml:space="preserve"> </w:t>
      </w: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p>
    <w:p w:rsidR="00B40B76" w:rsidRDefault="00B40B76" w:rsidP="004B75F0">
      <w:pPr>
        <w:jc w:val="both"/>
        <w:rPr>
          <w:rFonts w:asciiTheme="majorHAnsi" w:hAnsiTheme="majorHAnsi"/>
        </w:rPr>
      </w:pPr>
    </w:p>
    <w:p w:rsidR="00B40B76" w:rsidRDefault="00B40B76" w:rsidP="004B75F0">
      <w:pPr>
        <w:jc w:val="both"/>
        <w:rPr>
          <w:rFonts w:asciiTheme="majorHAnsi" w:hAnsiTheme="majorHAnsi"/>
        </w:rPr>
      </w:pPr>
    </w:p>
    <w:p w:rsidR="00B40B76" w:rsidRDefault="00B40B76" w:rsidP="004B75F0">
      <w:pPr>
        <w:jc w:val="both"/>
        <w:rPr>
          <w:rFonts w:asciiTheme="majorHAnsi" w:hAnsiTheme="majorHAnsi"/>
        </w:rPr>
      </w:pPr>
    </w:p>
    <w:p w:rsidR="00B40B76" w:rsidRDefault="00B40B76" w:rsidP="004B75F0">
      <w:pPr>
        <w:jc w:val="both"/>
        <w:rPr>
          <w:rFonts w:asciiTheme="majorHAnsi" w:hAnsiTheme="majorHAnsi"/>
        </w:rPr>
      </w:pPr>
    </w:p>
    <w:p w:rsidR="00B40B76" w:rsidRDefault="00B40B76" w:rsidP="004B75F0">
      <w:pPr>
        <w:jc w:val="both"/>
        <w:rPr>
          <w:rFonts w:asciiTheme="majorHAnsi" w:hAnsiTheme="majorHAnsi"/>
        </w:rPr>
      </w:pPr>
    </w:p>
    <w:p w:rsidR="004B75F0" w:rsidRDefault="004B75F0" w:rsidP="004B75F0">
      <w:pPr>
        <w:jc w:val="both"/>
        <w:rPr>
          <w:rFonts w:asciiTheme="majorHAnsi" w:hAnsiTheme="majorHAnsi"/>
        </w:rPr>
      </w:pPr>
    </w:p>
    <w:p w:rsidR="004B75F0" w:rsidRPr="00912F81" w:rsidRDefault="004B75F0" w:rsidP="004B75F0">
      <w:pPr>
        <w:jc w:val="both"/>
        <w:rPr>
          <w:rFonts w:asciiTheme="majorHAnsi" w:hAnsiTheme="majorHAnsi"/>
          <w:b/>
        </w:rPr>
      </w:pPr>
      <w:r w:rsidRPr="00912F81">
        <w:rPr>
          <w:rFonts w:asciiTheme="majorHAnsi" w:hAnsiTheme="majorHAnsi"/>
          <w:b/>
        </w:rPr>
        <w:t>Ruhsatlar artarken satışlar ne durumda?</w:t>
      </w: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rFonts w:asciiTheme="majorHAnsi" w:hAnsiTheme="majorHAnsi"/>
        </w:rPr>
        <w:t xml:space="preserve">Yapı ruhsatı ve yapı kullanma izni alan daire sayılarında 2014 yılı ilk </w:t>
      </w:r>
      <w:r w:rsidR="00B40B76">
        <w:rPr>
          <w:rFonts w:asciiTheme="majorHAnsi" w:hAnsiTheme="majorHAnsi"/>
        </w:rPr>
        <w:t>yarısında</w:t>
      </w:r>
      <w:r>
        <w:rPr>
          <w:rFonts w:asciiTheme="majorHAnsi" w:hAnsiTheme="majorHAnsi"/>
        </w:rPr>
        <w:t xml:space="preserve"> büyük bir artış olmakla birlikte, konut satışları rakamlarının bunun tersi bir seyir izlediğine dikkatinizi çekmek isteriz.</w:t>
      </w:r>
    </w:p>
    <w:p w:rsidR="004B75F0" w:rsidRDefault="004B75F0" w:rsidP="004B75F0">
      <w:pPr>
        <w:jc w:val="both"/>
        <w:rPr>
          <w:rFonts w:asciiTheme="majorHAnsi" w:hAnsiTheme="majorHAnsi"/>
        </w:rPr>
      </w:pPr>
    </w:p>
    <w:tbl>
      <w:tblPr>
        <w:tblW w:w="6233" w:type="dxa"/>
        <w:tblInd w:w="55" w:type="dxa"/>
        <w:tblCellMar>
          <w:left w:w="70" w:type="dxa"/>
          <w:right w:w="70" w:type="dxa"/>
        </w:tblCellMar>
        <w:tblLook w:val="04A0" w:firstRow="1" w:lastRow="0" w:firstColumn="1" w:lastColumn="0" w:noHBand="0" w:noVBand="1"/>
      </w:tblPr>
      <w:tblGrid>
        <w:gridCol w:w="3701"/>
        <w:gridCol w:w="846"/>
        <w:gridCol w:w="846"/>
        <w:gridCol w:w="840"/>
      </w:tblGrid>
      <w:tr w:rsidR="004B75F0" w:rsidRPr="00912F81" w:rsidTr="00384FC3">
        <w:trPr>
          <w:trHeight w:val="225"/>
        </w:trPr>
        <w:tc>
          <w:tcPr>
            <w:tcW w:w="3701" w:type="dxa"/>
            <w:tcBorders>
              <w:top w:val="nil"/>
              <w:left w:val="nil"/>
              <w:bottom w:val="nil"/>
              <w:right w:val="nil"/>
            </w:tcBorders>
            <w:shd w:val="clear" w:color="auto" w:fill="auto"/>
            <w:noWrap/>
            <w:vAlign w:val="bottom"/>
            <w:hideMark/>
          </w:tcPr>
          <w:p w:rsidR="004B75F0" w:rsidRPr="00912F81" w:rsidRDefault="004B75F0" w:rsidP="00384FC3">
            <w:pPr>
              <w:rPr>
                <w:rFonts w:asciiTheme="majorHAnsi" w:hAnsiTheme="majorHAnsi" w:cs="Arial"/>
                <w:b/>
                <w:color w:val="000000"/>
                <w:sz w:val="20"/>
                <w:szCs w:val="20"/>
                <w:lang w:eastAsia="tr-TR"/>
              </w:rPr>
            </w:pPr>
            <w:r w:rsidRPr="00912F81">
              <w:rPr>
                <w:rFonts w:asciiTheme="majorHAnsi" w:hAnsiTheme="majorHAnsi" w:cs="Arial"/>
                <w:b/>
                <w:color w:val="000000"/>
                <w:sz w:val="20"/>
                <w:szCs w:val="20"/>
                <w:lang w:eastAsia="tr-TR"/>
              </w:rPr>
              <w:t>TÜRKİYE</w:t>
            </w:r>
          </w:p>
        </w:tc>
        <w:tc>
          <w:tcPr>
            <w:tcW w:w="846" w:type="dxa"/>
            <w:tcBorders>
              <w:top w:val="nil"/>
              <w:left w:val="nil"/>
              <w:bottom w:val="nil"/>
              <w:right w:val="nil"/>
            </w:tcBorders>
            <w:shd w:val="clear" w:color="auto" w:fill="auto"/>
            <w:noWrap/>
            <w:vAlign w:val="bottom"/>
            <w:hideMark/>
          </w:tcPr>
          <w:p w:rsidR="004B75F0" w:rsidRPr="00912F81" w:rsidRDefault="004B75F0" w:rsidP="00384FC3">
            <w:pPr>
              <w:jc w:val="right"/>
              <w:rPr>
                <w:rFonts w:asciiTheme="majorHAnsi" w:hAnsiTheme="majorHAnsi" w:cs="Arial"/>
                <w:color w:val="000000"/>
                <w:sz w:val="20"/>
                <w:szCs w:val="20"/>
                <w:lang w:eastAsia="tr-TR"/>
              </w:rPr>
            </w:pPr>
          </w:p>
        </w:tc>
        <w:tc>
          <w:tcPr>
            <w:tcW w:w="846" w:type="dxa"/>
            <w:tcBorders>
              <w:top w:val="nil"/>
              <w:left w:val="nil"/>
              <w:bottom w:val="nil"/>
              <w:right w:val="nil"/>
            </w:tcBorders>
            <w:shd w:val="clear" w:color="auto" w:fill="auto"/>
            <w:noWrap/>
            <w:vAlign w:val="bottom"/>
            <w:hideMark/>
          </w:tcPr>
          <w:p w:rsidR="004B75F0" w:rsidRPr="00912F81" w:rsidRDefault="004B75F0" w:rsidP="00384FC3">
            <w:pPr>
              <w:jc w:val="right"/>
              <w:rPr>
                <w:rFonts w:asciiTheme="majorHAnsi" w:hAnsiTheme="majorHAnsi" w:cs="Arial"/>
                <w:color w:val="000000"/>
                <w:sz w:val="20"/>
                <w:szCs w:val="20"/>
                <w:lang w:eastAsia="tr-TR"/>
              </w:rPr>
            </w:pPr>
          </w:p>
        </w:tc>
        <w:tc>
          <w:tcPr>
            <w:tcW w:w="840" w:type="dxa"/>
            <w:tcBorders>
              <w:top w:val="nil"/>
              <w:left w:val="nil"/>
              <w:bottom w:val="nil"/>
              <w:right w:val="nil"/>
            </w:tcBorders>
            <w:shd w:val="clear" w:color="auto" w:fill="auto"/>
            <w:noWrap/>
            <w:vAlign w:val="bottom"/>
            <w:hideMark/>
          </w:tcPr>
          <w:p w:rsidR="004B75F0" w:rsidRPr="00912F81" w:rsidRDefault="004B75F0" w:rsidP="00384FC3">
            <w:pPr>
              <w:rPr>
                <w:rFonts w:asciiTheme="majorHAnsi" w:hAnsiTheme="majorHAnsi" w:cs="Arial"/>
                <w:color w:val="000000"/>
                <w:sz w:val="20"/>
                <w:szCs w:val="20"/>
                <w:lang w:eastAsia="tr-TR"/>
              </w:rPr>
            </w:pPr>
          </w:p>
        </w:tc>
      </w:tr>
      <w:tr w:rsidR="004B75F0" w:rsidRPr="00912F81" w:rsidTr="00384FC3">
        <w:trPr>
          <w:trHeight w:val="225"/>
        </w:trPr>
        <w:tc>
          <w:tcPr>
            <w:tcW w:w="3701" w:type="dxa"/>
            <w:tcBorders>
              <w:top w:val="nil"/>
              <w:left w:val="nil"/>
              <w:bottom w:val="single" w:sz="4" w:space="0" w:color="auto"/>
              <w:right w:val="nil"/>
            </w:tcBorders>
            <w:shd w:val="clear" w:color="auto" w:fill="auto"/>
            <w:noWrap/>
            <w:vAlign w:val="bottom"/>
            <w:hideMark/>
          </w:tcPr>
          <w:p w:rsidR="004B75F0" w:rsidRPr="00912F81" w:rsidRDefault="004B75F0" w:rsidP="00384FC3">
            <w:pPr>
              <w:rPr>
                <w:rFonts w:asciiTheme="majorHAnsi" w:hAnsiTheme="majorHAnsi" w:cs="Arial"/>
                <w:color w:val="000000"/>
                <w:sz w:val="20"/>
                <w:szCs w:val="20"/>
                <w:lang w:eastAsia="tr-TR"/>
              </w:rPr>
            </w:pPr>
          </w:p>
        </w:tc>
        <w:tc>
          <w:tcPr>
            <w:tcW w:w="846" w:type="dxa"/>
            <w:tcBorders>
              <w:top w:val="nil"/>
              <w:left w:val="nil"/>
              <w:bottom w:val="single" w:sz="4" w:space="0" w:color="auto"/>
              <w:right w:val="nil"/>
            </w:tcBorders>
            <w:shd w:val="clear" w:color="auto" w:fill="auto"/>
            <w:noWrap/>
            <w:vAlign w:val="bottom"/>
            <w:hideMark/>
          </w:tcPr>
          <w:p w:rsidR="004B75F0" w:rsidRPr="00912F81" w:rsidRDefault="00FC28F4"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20132</w:t>
            </w:r>
            <w:r w:rsidR="004B75F0" w:rsidRPr="00912F81">
              <w:rPr>
                <w:rFonts w:asciiTheme="majorHAnsi" w:hAnsiTheme="majorHAnsi" w:cs="Arial"/>
                <w:color w:val="000000"/>
                <w:sz w:val="20"/>
                <w:szCs w:val="20"/>
                <w:lang w:eastAsia="tr-TR"/>
              </w:rPr>
              <w:t>Ç</w:t>
            </w:r>
          </w:p>
        </w:tc>
        <w:tc>
          <w:tcPr>
            <w:tcW w:w="846" w:type="dxa"/>
            <w:tcBorders>
              <w:top w:val="nil"/>
              <w:left w:val="nil"/>
              <w:bottom w:val="single" w:sz="4" w:space="0" w:color="auto"/>
              <w:right w:val="nil"/>
            </w:tcBorders>
            <w:shd w:val="clear" w:color="auto" w:fill="auto"/>
            <w:noWrap/>
            <w:vAlign w:val="bottom"/>
            <w:hideMark/>
          </w:tcPr>
          <w:p w:rsidR="004B75F0" w:rsidRPr="00912F81" w:rsidRDefault="00FC28F4"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20142</w:t>
            </w:r>
            <w:r w:rsidR="004B75F0" w:rsidRPr="00912F81">
              <w:rPr>
                <w:rFonts w:asciiTheme="majorHAnsi" w:hAnsiTheme="majorHAnsi" w:cs="Arial"/>
                <w:color w:val="000000"/>
                <w:sz w:val="20"/>
                <w:szCs w:val="20"/>
                <w:lang w:eastAsia="tr-TR"/>
              </w:rPr>
              <w:t>Ç</w:t>
            </w:r>
          </w:p>
        </w:tc>
        <w:tc>
          <w:tcPr>
            <w:tcW w:w="840" w:type="dxa"/>
            <w:tcBorders>
              <w:top w:val="nil"/>
              <w:left w:val="nil"/>
              <w:bottom w:val="single" w:sz="4" w:space="0" w:color="auto"/>
              <w:right w:val="nil"/>
            </w:tcBorders>
            <w:shd w:val="clear" w:color="auto" w:fill="auto"/>
            <w:noWrap/>
            <w:vAlign w:val="bottom"/>
            <w:hideMark/>
          </w:tcPr>
          <w:p w:rsidR="004B75F0" w:rsidRPr="00912F81" w:rsidRDefault="004B75F0" w:rsidP="00384FC3">
            <w:pPr>
              <w:jc w:val="right"/>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Fark %</w:t>
            </w:r>
          </w:p>
        </w:tc>
      </w:tr>
      <w:tr w:rsidR="00FC28F4" w:rsidRPr="00912F81" w:rsidTr="00384FC3">
        <w:trPr>
          <w:trHeight w:val="225"/>
        </w:trPr>
        <w:tc>
          <w:tcPr>
            <w:tcW w:w="3701" w:type="dxa"/>
            <w:tcBorders>
              <w:top w:val="nil"/>
              <w:left w:val="nil"/>
              <w:bottom w:val="nil"/>
              <w:right w:val="nil"/>
            </w:tcBorders>
            <w:shd w:val="clear" w:color="auto" w:fill="auto"/>
            <w:noWrap/>
            <w:vAlign w:val="bottom"/>
            <w:hideMark/>
          </w:tcPr>
          <w:p w:rsidR="00FC28F4" w:rsidRPr="00912F81" w:rsidRDefault="00FC28F4" w:rsidP="00384FC3">
            <w:pPr>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Yapı Ruhsatı Alan Konut Adedi</w:t>
            </w:r>
          </w:p>
        </w:tc>
        <w:tc>
          <w:tcPr>
            <w:tcW w:w="846" w:type="dxa"/>
            <w:tcBorders>
              <w:top w:val="nil"/>
              <w:left w:val="nil"/>
              <w:bottom w:val="nil"/>
              <w:right w:val="nil"/>
            </w:tcBorders>
            <w:shd w:val="clear" w:color="auto" w:fill="auto"/>
            <w:noWrap/>
            <w:vAlign w:val="bottom"/>
            <w:hideMark/>
          </w:tcPr>
          <w:p w:rsidR="00FC28F4" w:rsidRPr="00E60BE4" w:rsidRDefault="00FC28F4" w:rsidP="00E27211">
            <w:pPr>
              <w:jc w:val="right"/>
              <w:rPr>
                <w:rFonts w:asciiTheme="majorHAnsi" w:hAnsiTheme="majorHAnsi" w:cs="Arial"/>
                <w:sz w:val="20"/>
                <w:szCs w:val="20"/>
                <w:lang w:eastAsia="tr-TR"/>
              </w:rPr>
            </w:pPr>
            <w:r>
              <w:rPr>
                <w:rFonts w:asciiTheme="majorHAnsi" w:hAnsiTheme="majorHAnsi" w:cs="Arial"/>
                <w:sz w:val="20"/>
                <w:szCs w:val="20"/>
                <w:lang w:eastAsia="tr-TR"/>
              </w:rPr>
              <w:t>412.346</w:t>
            </w:r>
          </w:p>
        </w:tc>
        <w:tc>
          <w:tcPr>
            <w:tcW w:w="846" w:type="dxa"/>
            <w:tcBorders>
              <w:top w:val="nil"/>
              <w:left w:val="nil"/>
              <w:bottom w:val="nil"/>
              <w:right w:val="nil"/>
            </w:tcBorders>
            <w:shd w:val="clear" w:color="auto" w:fill="auto"/>
            <w:noWrap/>
            <w:vAlign w:val="bottom"/>
            <w:hideMark/>
          </w:tcPr>
          <w:p w:rsidR="00FC28F4" w:rsidRPr="00E60BE4" w:rsidRDefault="00FC28F4" w:rsidP="00E27211">
            <w:pPr>
              <w:jc w:val="right"/>
              <w:rPr>
                <w:rFonts w:asciiTheme="majorHAnsi" w:hAnsiTheme="majorHAnsi" w:cs="Arial"/>
                <w:sz w:val="20"/>
                <w:szCs w:val="20"/>
                <w:lang w:eastAsia="tr-TR"/>
              </w:rPr>
            </w:pPr>
            <w:r>
              <w:rPr>
                <w:rFonts w:asciiTheme="majorHAnsi" w:hAnsiTheme="majorHAnsi" w:cs="Arial"/>
                <w:sz w:val="20"/>
                <w:szCs w:val="20"/>
                <w:lang w:eastAsia="tr-TR"/>
              </w:rPr>
              <w:t>525.520</w:t>
            </w:r>
          </w:p>
        </w:tc>
        <w:tc>
          <w:tcPr>
            <w:tcW w:w="840" w:type="dxa"/>
            <w:tcBorders>
              <w:top w:val="nil"/>
              <w:left w:val="nil"/>
              <w:bottom w:val="nil"/>
              <w:right w:val="nil"/>
            </w:tcBorders>
            <w:shd w:val="clear" w:color="auto" w:fill="auto"/>
            <w:noWrap/>
            <w:vAlign w:val="bottom"/>
            <w:hideMark/>
          </w:tcPr>
          <w:p w:rsidR="00FC28F4" w:rsidRPr="00E60BE4" w:rsidRDefault="00FC28F4" w:rsidP="00E27211">
            <w:pPr>
              <w:jc w:val="right"/>
              <w:rPr>
                <w:rFonts w:asciiTheme="majorHAnsi" w:hAnsiTheme="majorHAnsi" w:cs="Arial"/>
                <w:sz w:val="20"/>
                <w:szCs w:val="20"/>
                <w:lang w:eastAsia="tr-TR"/>
              </w:rPr>
            </w:pPr>
            <w:r>
              <w:rPr>
                <w:rFonts w:asciiTheme="majorHAnsi" w:hAnsiTheme="majorHAnsi" w:cs="Arial"/>
                <w:sz w:val="20"/>
                <w:szCs w:val="20"/>
                <w:lang w:eastAsia="tr-TR"/>
              </w:rPr>
              <w:t>27</w:t>
            </w:r>
            <w:r w:rsidRPr="00E60BE4">
              <w:rPr>
                <w:rFonts w:asciiTheme="majorHAnsi" w:hAnsiTheme="majorHAnsi" w:cs="Arial"/>
                <w:sz w:val="20"/>
                <w:szCs w:val="20"/>
                <w:lang w:eastAsia="tr-TR"/>
              </w:rPr>
              <w:t>%</w:t>
            </w:r>
          </w:p>
        </w:tc>
      </w:tr>
      <w:tr w:rsidR="00FC28F4" w:rsidRPr="00912F81" w:rsidTr="00384FC3">
        <w:trPr>
          <w:trHeight w:val="225"/>
        </w:trPr>
        <w:tc>
          <w:tcPr>
            <w:tcW w:w="3701" w:type="dxa"/>
            <w:tcBorders>
              <w:top w:val="nil"/>
              <w:left w:val="nil"/>
              <w:bottom w:val="nil"/>
              <w:right w:val="nil"/>
            </w:tcBorders>
            <w:shd w:val="clear" w:color="auto" w:fill="auto"/>
            <w:noWrap/>
            <w:vAlign w:val="bottom"/>
            <w:hideMark/>
          </w:tcPr>
          <w:p w:rsidR="00FC28F4" w:rsidRPr="00912F81" w:rsidRDefault="00FC28F4" w:rsidP="00384FC3">
            <w:pPr>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Yapı Kullanma İzni Alan Konut Adedi</w:t>
            </w:r>
          </w:p>
        </w:tc>
        <w:tc>
          <w:tcPr>
            <w:tcW w:w="846" w:type="dxa"/>
            <w:tcBorders>
              <w:top w:val="nil"/>
              <w:left w:val="nil"/>
              <w:bottom w:val="nil"/>
              <w:right w:val="nil"/>
            </w:tcBorders>
            <w:shd w:val="clear" w:color="auto" w:fill="auto"/>
            <w:noWrap/>
            <w:vAlign w:val="bottom"/>
            <w:hideMark/>
          </w:tcPr>
          <w:p w:rsidR="00FC28F4" w:rsidRPr="00E60BE4" w:rsidRDefault="00FC28F4" w:rsidP="00E27211">
            <w:pPr>
              <w:jc w:val="right"/>
              <w:rPr>
                <w:rFonts w:asciiTheme="majorHAnsi" w:hAnsiTheme="majorHAnsi" w:cs="Arial"/>
                <w:sz w:val="20"/>
                <w:szCs w:val="20"/>
                <w:lang w:eastAsia="tr-TR"/>
              </w:rPr>
            </w:pPr>
            <w:r>
              <w:rPr>
                <w:rFonts w:asciiTheme="majorHAnsi" w:hAnsiTheme="majorHAnsi" w:cs="Arial"/>
                <w:sz w:val="20"/>
                <w:szCs w:val="20"/>
                <w:lang w:eastAsia="tr-TR"/>
              </w:rPr>
              <w:t>313.113</w:t>
            </w:r>
          </w:p>
        </w:tc>
        <w:tc>
          <w:tcPr>
            <w:tcW w:w="846" w:type="dxa"/>
            <w:tcBorders>
              <w:top w:val="nil"/>
              <w:left w:val="nil"/>
              <w:bottom w:val="nil"/>
              <w:right w:val="nil"/>
            </w:tcBorders>
            <w:shd w:val="clear" w:color="auto" w:fill="auto"/>
            <w:noWrap/>
            <w:vAlign w:val="bottom"/>
            <w:hideMark/>
          </w:tcPr>
          <w:p w:rsidR="00FC28F4" w:rsidRPr="00E60BE4" w:rsidRDefault="00FC28F4" w:rsidP="00E27211">
            <w:pPr>
              <w:jc w:val="right"/>
              <w:rPr>
                <w:rFonts w:asciiTheme="majorHAnsi" w:hAnsiTheme="majorHAnsi" w:cs="Arial"/>
                <w:sz w:val="20"/>
                <w:szCs w:val="20"/>
                <w:lang w:eastAsia="tr-TR"/>
              </w:rPr>
            </w:pPr>
            <w:r>
              <w:rPr>
                <w:rFonts w:asciiTheme="majorHAnsi" w:hAnsiTheme="majorHAnsi" w:cs="Arial"/>
                <w:sz w:val="20"/>
                <w:szCs w:val="20"/>
                <w:lang w:eastAsia="tr-TR"/>
              </w:rPr>
              <w:t>414.632</w:t>
            </w:r>
          </w:p>
        </w:tc>
        <w:tc>
          <w:tcPr>
            <w:tcW w:w="840" w:type="dxa"/>
            <w:tcBorders>
              <w:top w:val="nil"/>
              <w:left w:val="nil"/>
              <w:bottom w:val="nil"/>
              <w:right w:val="nil"/>
            </w:tcBorders>
            <w:shd w:val="clear" w:color="auto" w:fill="auto"/>
            <w:noWrap/>
            <w:vAlign w:val="bottom"/>
            <w:hideMark/>
          </w:tcPr>
          <w:p w:rsidR="00FC28F4" w:rsidRPr="00E60BE4" w:rsidRDefault="00FC28F4" w:rsidP="00E27211">
            <w:pPr>
              <w:jc w:val="right"/>
              <w:rPr>
                <w:rFonts w:asciiTheme="majorHAnsi" w:hAnsiTheme="majorHAnsi" w:cs="Arial"/>
                <w:sz w:val="20"/>
                <w:szCs w:val="20"/>
                <w:lang w:eastAsia="tr-TR"/>
              </w:rPr>
            </w:pPr>
            <w:r>
              <w:rPr>
                <w:rFonts w:asciiTheme="majorHAnsi" w:hAnsiTheme="majorHAnsi" w:cs="Arial"/>
                <w:sz w:val="20"/>
                <w:szCs w:val="20"/>
                <w:lang w:eastAsia="tr-TR"/>
              </w:rPr>
              <w:t>32</w:t>
            </w:r>
            <w:r w:rsidRPr="00E60BE4">
              <w:rPr>
                <w:rFonts w:asciiTheme="majorHAnsi" w:hAnsiTheme="majorHAnsi" w:cs="Arial"/>
                <w:sz w:val="20"/>
                <w:szCs w:val="20"/>
                <w:lang w:eastAsia="tr-TR"/>
              </w:rPr>
              <w:t>%</w:t>
            </w:r>
          </w:p>
        </w:tc>
      </w:tr>
      <w:tr w:rsidR="004B75F0" w:rsidRPr="00912F81" w:rsidTr="00384FC3">
        <w:trPr>
          <w:trHeight w:val="225"/>
        </w:trPr>
        <w:tc>
          <w:tcPr>
            <w:tcW w:w="3701" w:type="dxa"/>
            <w:tcBorders>
              <w:top w:val="nil"/>
              <w:left w:val="nil"/>
              <w:bottom w:val="nil"/>
              <w:right w:val="nil"/>
            </w:tcBorders>
            <w:shd w:val="clear" w:color="auto" w:fill="auto"/>
            <w:noWrap/>
            <w:vAlign w:val="bottom"/>
            <w:hideMark/>
          </w:tcPr>
          <w:p w:rsidR="004B75F0" w:rsidRPr="00912F81" w:rsidRDefault="004B75F0" w:rsidP="00384FC3">
            <w:pPr>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Satılan Toplam Konut Adedi</w:t>
            </w:r>
          </w:p>
        </w:tc>
        <w:tc>
          <w:tcPr>
            <w:tcW w:w="846" w:type="dxa"/>
            <w:tcBorders>
              <w:top w:val="nil"/>
              <w:left w:val="nil"/>
              <w:bottom w:val="nil"/>
              <w:right w:val="nil"/>
            </w:tcBorders>
            <w:shd w:val="clear" w:color="auto" w:fill="auto"/>
            <w:noWrap/>
            <w:vAlign w:val="bottom"/>
            <w:hideMark/>
          </w:tcPr>
          <w:p w:rsidR="004B75F0" w:rsidRPr="00912F81" w:rsidRDefault="00FC28F4"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568.985</w:t>
            </w:r>
          </w:p>
        </w:tc>
        <w:tc>
          <w:tcPr>
            <w:tcW w:w="846" w:type="dxa"/>
            <w:tcBorders>
              <w:top w:val="nil"/>
              <w:left w:val="nil"/>
              <w:bottom w:val="nil"/>
              <w:right w:val="nil"/>
            </w:tcBorders>
            <w:shd w:val="clear" w:color="auto" w:fill="auto"/>
            <w:noWrap/>
            <w:vAlign w:val="bottom"/>
            <w:hideMark/>
          </w:tcPr>
          <w:p w:rsidR="004B75F0" w:rsidRPr="00912F81" w:rsidRDefault="00FC28F4"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524.776</w:t>
            </w:r>
          </w:p>
        </w:tc>
        <w:tc>
          <w:tcPr>
            <w:tcW w:w="840" w:type="dxa"/>
            <w:tcBorders>
              <w:top w:val="nil"/>
              <w:left w:val="nil"/>
              <w:bottom w:val="nil"/>
              <w:right w:val="nil"/>
            </w:tcBorders>
            <w:shd w:val="clear" w:color="auto" w:fill="auto"/>
            <w:noWrap/>
            <w:vAlign w:val="bottom"/>
            <w:hideMark/>
          </w:tcPr>
          <w:p w:rsidR="004B75F0" w:rsidRPr="00912F81" w:rsidRDefault="00FC28F4"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-8</w:t>
            </w:r>
            <w:r w:rsidR="004B75F0" w:rsidRPr="00912F81">
              <w:rPr>
                <w:rFonts w:asciiTheme="majorHAnsi" w:hAnsiTheme="majorHAnsi" w:cs="Arial"/>
                <w:color w:val="000000"/>
                <w:sz w:val="20"/>
                <w:szCs w:val="20"/>
                <w:lang w:eastAsia="tr-TR"/>
              </w:rPr>
              <w:t>%</w:t>
            </w:r>
          </w:p>
        </w:tc>
      </w:tr>
      <w:tr w:rsidR="004B75F0" w:rsidRPr="00912F81" w:rsidTr="00384FC3">
        <w:trPr>
          <w:trHeight w:val="225"/>
        </w:trPr>
        <w:tc>
          <w:tcPr>
            <w:tcW w:w="3701" w:type="dxa"/>
            <w:tcBorders>
              <w:top w:val="nil"/>
              <w:left w:val="nil"/>
              <w:bottom w:val="nil"/>
              <w:right w:val="nil"/>
            </w:tcBorders>
            <w:shd w:val="clear" w:color="auto" w:fill="auto"/>
            <w:noWrap/>
            <w:vAlign w:val="bottom"/>
            <w:hideMark/>
          </w:tcPr>
          <w:p w:rsidR="004B75F0" w:rsidRPr="00912F81" w:rsidRDefault="004B75F0" w:rsidP="00384FC3">
            <w:pPr>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Satılan Birinci El Konut Adedi</w:t>
            </w:r>
          </w:p>
        </w:tc>
        <w:tc>
          <w:tcPr>
            <w:tcW w:w="846" w:type="dxa"/>
            <w:tcBorders>
              <w:top w:val="nil"/>
              <w:left w:val="nil"/>
              <w:bottom w:val="nil"/>
              <w:right w:val="nil"/>
            </w:tcBorders>
            <w:shd w:val="clear" w:color="auto" w:fill="auto"/>
            <w:noWrap/>
            <w:vAlign w:val="bottom"/>
            <w:hideMark/>
          </w:tcPr>
          <w:p w:rsidR="004B75F0" w:rsidRPr="00912F81" w:rsidRDefault="00FC28F4"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252.363</w:t>
            </w:r>
          </w:p>
        </w:tc>
        <w:tc>
          <w:tcPr>
            <w:tcW w:w="846" w:type="dxa"/>
            <w:tcBorders>
              <w:top w:val="nil"/>
              <w:left w:val="nil"/>
              <w:bottom w:val="nil"/>
              <w:right w:val="nil"/>
            </w:tcBorders>
            <w:shd w:val="clear" w:color="auto" w:fill="auto"/>
            <w:noWrap/>
            <w:vAlign w:val="bottom"/>
            <w:hideMark/>
          </w:tcPr>
          <w:p w:rsidR="004B75F0" w:rsidRPr="00912F81" w:rsidRDefault="00FC28F4"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241.843</w:t>
            </w:r>
          </w:p>
        </w:tc>
        <w:tc>
          <w:tcPr>
            <w:tcW w:w="840" w:type="dxa"/>
            <w:tcBorders>
              <w:top w:val="nil"/>
              <w:left w:val="nil"/>
              <w:bottom w:val="nil"/>
              <w:right w:val="nil"/>
            </w:tcBorders>
            <w:shd w:val="clear" w:color="auto" w:fill="auto"/>
            <w:noWrap/>
            <w:vAlign w:val="bottom"/>
            <w:hideMark/>
          </w:tcPr>
          <w:p w:rsidR="004B75F0" w:rsidRPr="00912F81" w:rsidRDefault="00FC28F4"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-4</w:t>
            </w:r>
            <w:r w:rsidR="004B75F0" w:rsidRPr="00912F81">
              <w:rPr>
                <w:rFonts w:asciiTheme="majorHAnsi" w:hAnsiTheme="majorHAnsi" w:cs="Arial"/>
                <w:color w:val="000000"/>
                <w:sz w:val="20"/>
                <w:szCs w:val="20"/>
                <w:lang w:eastAsia="tr-TR"/>
              </w:rPr>
              <w:t>%</w:t>
            </w:r>
          </w:p>
        </w:tc>
      </w:tr>
      <w:tr w:rsidR="004B75F0" w:rsidRPr="00912F81" w:rsidTr="00384FC3">
        <w:trPr>
          <w:trHeight w:val="225"/>
        </w:trPr>
        <w:tc>
          <w:tcPr>
            <w:tcW w:w="3701" w:type="dxa"/>
            <w:tcBorders>
              <w:top w:val="nil"/>
              <w:left w:val="nil"/>
              <w:bottom w:val="nil"/>
              <w:right w:val="nil"/>
            </w:tcBorders>
            <w:shd w:val="clear" w:color="auto" w:fill="auto"/>
            <w:noWrap/>
            <w:vAlign w:val="bottom"/>
            <w:hideMark/>
          </w:tcPr>
          <w:p w:rsidR="004B75F0" w:rsidRPr="00912F81" w:rsidRDefault="004B75F0" w:rsidP="00384FC3">
            <w:pPr>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Satılan İkinci El Konut Aded</w:t>
            </w:r>
            <w:r w:rsidRPr="004D6B06">
              <w:rPr>
                <w:rFonts w:asciiTheme="majorHAnsi" w:hAnsiTheme="majorHAnsi" w:cs="Arial"/>
                <w:color w:val="000000"/>
                <w:sz w:val="20"/>
                <w:szCs w:val="20"/>
                <w:lang w:eastAsia="tr-TR"/>
              </w:rPr>
              <w:t>i</w:t>
            </w:r>
          </w:p>
        </w:tc>
        <w:tc>
          <w:tcPr>
            <w:tcW w:w="846" w:type="dxa"/>
            <w:tcBorders>
              <w:top w:val="nil"/>
              <w:left w:val="nil"/>
              <w:bottom w:val="nil"/>
              <w:right w:val="nil"/>
            </w:tcBorders>
            <w:shd w:val="clear" w:color="auto" w:fill="auto"/>
            <w:noWrap/>
            <w:vAlign w:val="bottom"/>
            <w:hideMark/>
          </w:tcPr>
          <w:p w:rsidR="004B75F0" w:rsidRPr="00912F81" w:rsidRDefault="00FC28F4"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316.622</w:t>
            </w:r>
          </w:p>
        </w:tc>
        <w:tc>
          <w:tcPr>
            <w:tcW w:w="846" w:type="dxa"/>
            <w:tcBorders>
              <w:top w:val="nil"/>
              <w:left w:val="nil"/>
              <w:bottom w:val="nil"/>
              <w:right w:val="nil"/>
            </w:tcBorders>
            <w:shd w:val="clear" w:color="auto" w:fill="auto"/>
            <w:noWrap/>
            <w:vAlign w:val="bottom"/>
            <w:hideMark/>
          </w:tcPr>
          <w:p w:rsidR="004B75F0" w:rsidRPr="00912F81" w:rsidRDefault="00FC28F4"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282.933</w:t>
            </w:r>
          </w:p>
        </w:tc>
        <w:tc>
          <w:tcPr>
            <w:tcW w:w="840" w:type="dxa"/>
            <w:tcBorders>
              <w:top w:val="nil"/>
              <w:left w:val="nil"/>
              <w:bottom w:val="nil"/>
              <w:right w:val="nil"/>
            </w:tcBorders>
            <w:shd w:val="clear" w:color="auto" w:fill="auto"/>
            <w:noWrap/>
            <w:vAlign w:val="bottom"/>
            <w:hideMark/>
          </w:tcPr>
          <w:p w:rsidR="004B75F0" w:rsidRPr="00912F81" w:rsidRDefault="00FC28F4"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-11</w:t>
            </w:r>
            <w:r w:rsidR="004B75F0" w:rsidRPr="00912F81">
              <w:rPr>
                <w:rFonts w:asciiTheme="majorHAnsi" w:hAnsiTheme="majorHAnsi" w:cs="Arial"/>
                <w:color w:val="000000"/>
                <w:sz w:val="20"/>
                <w:szCs w:val="20"/>
                <w:lang w:eastAsia="tr-TR"/>
              </w:rPr>
              <w:t>%</w:t>
            </w:r>
          </w:p>
        </w:tc>
      </w:tr>
    </w:tbl>
    <w:p w:rsidR="004B75F0" w:rsidRDefault="004B75F0" w:rsidP="004B75F0">
      <w:pPr>
        <w:jc w:val="both"/>
        <w:rPr>
          <w:rFonts w:asciiTheme="majorHAnsi" w:hAnsiTheme="majorHAnsi"/>
        </w:rPr>
      </w:pPr>
    </w:p>
    <w:p w:rsidR="004B75F0" w:rsidRPr="00912F81" w:rsidRDefault="004B75F0" w:rsidP="004B75F0">
      <w:pPr>
        <w:jc w:val="both"/>
        <w:rPr>
          <w:rFonts w:asciiTheme="majorHAnsi" w:hAnsiTheme="majorHAnsi"/>
          <w:b/>
        </w:rPr>
      </w:pPr>
      <w:r w:rsidRPr="00912F81">
        <w:rPr>
          <w:rFonts w:ascii="Arial" w:hAnsi="Arial" w:cs="Arial"/>
          <w:b/>
          <w:color w:val="000000"/>
          <w:sz w:val="16"/>
          <w:szCs w:val="16"/>
          <w:lang w:eastAsia="tr-TR"/>
        </w:rPr>
        <w:t>İSTANBUL</w:t>
      </w:r>
    </w:p>
    <w:tbl>
      <w:tblPr>
        <w:tblW w:w="6221" w:type="dxa"/>
        <w:tblInd w:w="55" w:type="dxa"/>
        <w:tblCellMar>
          <w:left w:w="70" w:type="dxa"/>
          <w:right w:w="70" w:type="dxa"/>
        </w:tblCellMar>
        <w:tblLook w:val="04A0" w:firstRow="1" w:lastRow="0" w:firstColumn="1" w:lastColumn="0" w:noHBand="0" w:noVBand="1"/>
      </w:tblPr>
      <w:tblGrid>
        <w:gridCol w:w="3701"/>
        <w:gridCol w:w="846"/>
        <w:gridCol w:w="846"/>
        <w:gridCol w:w="840"/>
      </w:tblGrid>
      <w:tr w:rsidR="004B75F0" w:rsidRPr="00912F81" w:rsidTr="00384FC3">
        <w:trPr>
          <w:trHeight w:val="225"/>
        </w:trPr>
        <w:tc>
          <w:tcPr>
            <w:tcW w:w="3701" w:type="dxa"/>
            <w:tcBorders>
              <w:top w:val="nil"/>
              <w:left w:val="nil"/>
              <w:bottom w:val="single" w:sz="4" w:space="0" w:color="auto"/>
              <w:right w:val="nil"/>
            </w:tcBorders>
            <w:shd w:val="clear" w:color="auto" w:fill="auto"/>
            <w:noWrap/>
            <w:vAlign w:val="bottom"/>
            <w:hideMark/>
          </w:tcPr>
          <w:p w:rsidR="004B75F0" w:rsidRPr="00912F81" w:rsidRDefault="004B75F0" w:rsidP="00384FC3">
            <w:pPr>
              <w:rPr>
                <w:rFonts w:asciiTheme="majorHAnsi" w:hAnsiTheme="majorHAnsi" w:cs="Arial"/>
                <w:color w:val="000000"/>
                <w:sz w:val="20"/>
                <w:szCs w:val="20"/>
                <w:lang w:eastAsia="tr-TR"/>
              </w:rPr>
            </w:pPr>
          </w:p>
        </w:tc>
        <w:tc>
          <w:tcPr>
            <w:tcW w:w="840" w:type="dxa"/>
            <w:tcBorders>
              <w:top w:val="nil"/>
              <w:left w:val="nil"/>
              <w:bottom w:val="single" w:sz="4" w:space="0" w:color="auto"/>
              <w:right w:val="nil"/>
            </w:tcBorders>
            <w:shd w:val="clear" w:color="auto" w:fill="auto"/>
            <w:noWrap/>
            <w:vAlign w:val="bottom"/>
            <w:hideMark/>
          </w:tcPr>
          <w:p w:rsidR="004B75F0" w:rsidRPr="00912F81" w:rsidRDefault="004B75F0" w:rsidP="00384FC3">
            <w:pPr>
              <w:jc w:val="right"/>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20131Ç</w:t>
            </w:r>
          </w:p>
        </w:tc>
        <w:tc>
          <w:tcPr>
            <w:tcW w:w="840" w:type="dxa"/>
            <w:tcBorders>
              <w:top w:val="nil"/>
              <w:left w:val="nil"/>
              <w:bottom w:val="single" w:sz="4" w:space="0" w:color="auto"/>
              <w:right w:val="nil"/>
            </w:tcBorders>
            <w:shd w:val="clear" w:color="auto" w:fill="auto"/>
            <w:noWrap/>
            <w:vAlign w:val="bottom"/>
            <w:hideMark/>
          </w:tcPr>
          <w:p w:rsidR="004B75F0" w:rsidRPr="00912F81" w:rsidRDefault="004B75F0" w:rsidP="00384FC3">
            <w:pPr>
              <w:jc w:val="right"/>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20141Ç</w:t>
            </w:r>
          </w:p>
        </w:tc>
        <w:tc>
          <w:tcPr>
            <w:tcW w:w="840" w:type="dxa"/>
            <w:tcBorders>
              <w:top w:val="nil"/>
              <w:left w:val="nil"/>
              <w:bottom w:val="single" w:sz="4" w:space="0" w:color="auto"/>
              <w:right w:val="nil"/>
            </w:tcBorders>
            <w:shd w:val="clear" w:color="auto" w:fill="auto"/>
            <w:noWrap/>
            <w:vAlign w:val="bottom"/>
            <w:hideMark/>
          </w:tcPr>
          <w:p w:rsidR="004B75F0" w:rsidRPr="00912F81" w:rsidRDefault="004B75F0" w:rsidP="00384FC3">
            <w:pPr>
              <w:jc w:val="right"/>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Fark %</w:t>
            </w:r>
          </w:p>
        </w:tc>
      </w:tr>
      <w:tr w:rsidR="004B75F0" w:rsidRPr="00912F81" w:rsidTr="00384FC3">
        <w:trPr>
          <w:trHeight w:val="225"/>
        </w:trPr>
        <w:tc>
          <w:tcPr>
            <w:tcW w:w="3701" w:type="dxa"/>
            <w:tcBorders>
              <w:top w:val="nil"/>
              <w:left w:val="nil"/>
              <w:bottom w:val="nil"/>
              <w:right w:val="nil"/>
            </w:tcBorders>
            <w:shd w:val="clear" w:color="auto" w:fill="auto"/>
            <w:noWrap/>
            <w:vAlign w:val="bottom"/>
            <w:hideMark/>
          </w:tcPr>
          <w:p w:rsidR="004B75F0" w:rsidRPr="00912F81" w:rsidRDefault="004B75F0" w:rsidP="00384FC3">
            <w:pPr>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Yapı Ruhsatı Alan Konut Adedi</w:t>
            </w:r>
          </w:p>
        </w:tc>
        <w:tc>
          <w:tcPr>
            <w:tcW w:w="840" w:type="dxa"/>
            <w:tcBorders>
              <w:top w:val="nil"/>
              <w:left w:val="nil"/>
              <w:bottom w:val="nil"/>
              <w:right w:val="nil"/>
            </w:tcBorders>
            <w:shd w:val="clear" w:color="auto" w:fill="auto"/>
            <w:noWrap/>
            <w:vAlign w:val="bottom"/>
            <w:hideMark/>
          </w:tcPr>
          <w:p w:rsidR="004B75F0" w:rsidRPr="00912F81" w:rsidRDefault="00956E36"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77.007</w:t>
            </w:r>
          </w:p>
        </w:tc>
        <w:tc>
          <w:tcPr>
            <w:tcW w:w="840" w:type="dxa"/>
            <w:tcBorders>
              <w:top w:val="nil"/>
              <w:left w:val="nil"/>
              <w:bottom w:val="nil"/>
              <w:right w:val="nil"/>
            </w:tcBorders>
            <w:shd w:val="clear" w:color="auto" w:fill="auto"/>
            <w:noWrap/>
            <w:vAlign w:val="bottom"/>
            <w:hideMark/>
          </w:tcPr>
          <w:p w:rsidR="004B75F0" w:rsidRPr="00912F81" w:rsidRDefault="00956E36"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97.848</w:t>
            </w:r>
          </w:p>
        </w:tc>
        <w:tc>
          <w:tcPr>
            <w:tcW w:w="840" w:type="dxa"/>
            <w:tcBorders>
              <w:top w:val="nil"/>
              <w:left w:val="nil"/>
              <w:bottom w:val="nil"/>
              <w:right w:val="nil"/>
            </w:tcBorders>
            <w:shd w:val="clear" w:color="auto" w:fill="auto"/>
            <w:noWrap/>
            <w:vAlign w:val="bottom"/>
            <w:hideMark/>
          </w:tcPr>
          <w:p w:rsidR="004B75F0" w:rsidRPr="00912F81" w:rsidRDefault="00956E36"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27</w:t>
            </w:r>
            <w:r w:rsidR="004B75F0" w:rsidRPr="00912F81">
              <w:rPr>
                <w:rFonts w:asciiTheme="majorHAnsi" w:hAnsiTheme="majorHAnsi" w:cs="Arial"/>
                <w:color w:val="000000"/>
                <w:sz w:val="20"/>
                <w:szCs w:val="20"/>
                <w:lang w:eastAsia="tr-TR"/>
              </w:rPr>
              <w:t>%</w:t>
            </w:r>
          </w:p>
        </w:tc>
      </w:tr>
      <w:tr w:rsidR="004B75F0" w:rsidRPr="00912F81" w:rsidTr="00384FC3">
        <w:trPr>
          <w:trHeight w:val="225"/>
        </w:trPr>
        <w:tc>
          <w:tcPr>
            <w:tcW w:w="3701" w:type="dxa"/>
            <w:tcBorders>
              <w:top w:val="nil"/>
              <w:left w:val="nil"/>
              <w:bottom w:val="nil"/>
              <w:right w:val="nil"/>
            </w:tcBorders>
            <w:shd w:val="clear" w:color="auto" w:fill="auto"/>
            <w:noWrap/>
            <w:vAlign w:val="bottom"/>
            <w:hideMark/>
          </w:tcPr>
          <w:p w:rsidR="004B75F0" w:rsidRPr="00912F81" w:rsidRDefault="004B75F0" w:rsidP="00384FC3">
            <w:pPr>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Yapı Kullanma İzni Alan Konut Adedi</w:t>
            </w:r>
          </w:p>
        </w:tc>
        <w:tc>
          <w:tcPr>
            <w:tcW w:w="840" w:type="dxa"/>
            <w:tcBorders>
              <w:top w:val="nil"/>
              <w:left w:val="nil"/>
              <w:bottom w:val="nil"/>
              <w:right w:val="nil"/>
            </w:tcBorders>
            <w:shd w:val="clear" w:color="auto" w:fill="auto"/>
            <w:noWrap/>
            <w:vAlign w:val="bottom"/>
            <w:hideMark/>
          </w:tcPr>
          <w:p w:rsidR="004B75F0" w:rsidRPr="00912F81" w:rsidRDefault="00956E36"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53.801</w:t>
            </w:r>
          </w:p>
        </w:tc>
        <w:tc>
          <w:tcPr>
            <w:tcW w:w="840" w:type="dxa"/>
            <w:tcBorders>
              <w:top w:val="nil"/>
              <w:left w:val="nil"/>
              <w:bottom w:val="nil"/>
              <w:right w:val="nil"/>
            </w:tcBorders>
            <w:shd w:val="clear" w:color="auto" w:fill="auto"/>
            <w:noWrap/>
            <w:vAlign w:val="bottom"/>
            <w:hideMark/>
          </w:tcPr>
          <w:p w:rsidR="004B75F0" w:rsidRPr="00912F81" w:rsidRDefault="00956E36"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85.877</w:t>
            </w:r>
          </w:p>
        </w:tc>
        <w:tc>
          <w:tcPr>
            <w:tcW w:w="840" w:type="dxa"/>
            <w:tcBorders>
              <w:top w:val="nil"/>
              <w:left w:val="nil"/>
              <w:bottom w:val="nil"/>
              <w:right w:val="nil"/>
            </w:tcBorders>
            <w:shd w:val="clear" w:color="auto" w:fill="auto"/>
            <w:noWrap/>
            <w:vAlign w:val="bottom"/>
            <w:hideMark/>
          </w:tcPr>
          <w:p w:rsidR="004B75F0" w:rsidRPr="00912F81" w:rsidRDefault="00A46452"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60</w:t>
            </w:r>
            <w:r w:rsidR="004B75F0" w:rsidRPr="00912F81">
              <w:rPr>
                <w:rFonts w:asciiTheme="majorHAnsi" w:hAnsiTheme="majorHAnsi" w:cs="Arial"/>
                <w:color w:val="000000"/>
                <w:sz w:val="20"/>
                <w:szCs w:val="20"/>
                <w:lang w:eastAsia="tr-TR"/>
              </w:rPr>
              <w:t>%</w:t>
            </w:r>
          </w:p>
        </w:tc>
      </w:tr>
      <w:tr w:rsidR="004B75F0" w:rsidRPr="00912F81" w:rsidTr="00384FC3">
        <w:trPr>
          <w:trHeight w:val="225"/>
        </w:trPr>
        <w:tc>
          <w:tcPr>
            <w:tcW w:w="3701" w:type="dxa"/>
            <w:tcBorders>
              <w:top w:val="nil"/>
              <w:left w:val="nil"/>
              <w:bottom w:val="nil"/>
              <w:right w:val="nil"/>
            </w:tcBorders>
            <w:shd w:val="clear" w:color="auto" w:fill="auto"/>
            <w:noWrap/>
            <w:vAlign w:val="bottom"/>
            <w:hideMark/>
          </w:tcPr>
          <w:p w:rsidR="004B75F0" w:rsidRPr="00912F81" w:rsidRDefault="004B75F0" w:rsidP="00384FC3">
            <w:pPr>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Satılan Toplam Konut Adedi</w:t>
            </w:r>
          </w:p>
        </w:tc>
        <w:tc>
          <w:tcPr>
            <w:tcW w:w="840" w:type="dxa"/>
            <w:tcBorders>
              <w:top w:val="nil"/>
              <w:left w:val="nil"/>
              <w:bottom w:val="nil"/>
              <w:right w:val="nil"/>
            </w:tcBorders>
            <w:shd w:val="clear" w:color="auto" w:fill="auto"/>
            <w:noWrap/>
            <w:vAlign w:val="bottom"/>
            <w:hideMark/>
          </w:tcPr>
          <w:p w:rsidR="004B75F0" w:rsidRPr="00912F81" w:rsidRDefault="00A46452"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120.954</w:t>
            </w:r>
          </w:p>
        </w:tc>
        <w:tc>
          <w:tcPr>
            <w:tcW w:w="840" w:type="dxa"/>
            <w:tcBorders>
              <w:top w:val="nil"/>
              <w:left w:val="nil"/>
              <w:bottom w:val="nil"/>
              <w:right w:val="nil"/>
            </w:tcBorders>
            <w:shd w:val="clear" w:color="auto" w:fill="auto"/>
            <w:noWrap/>
            <w:vAlign w:val="bottom"/>
            <w:hideMark/>
          </w:tcPr>
          <w:p w:rsidR="004B75F0" w:rsidRPr="00912F81" w:rsidRDefault="00A46452"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106.562</w:t>
            </w:r>
          </w:p>
        </w:tc>
        <w:tc>
          <w:tcPr>
            <w:tcW w:w="840" w:type="dxa"/>
            <w:tcBorders>
              <w:top w:val="nil"/>
              <w:left w:val="nil"/>
              <w:bottom w:val="nil"/>
              <w:right w:val="nil"/>
            </w:tcBorders>
            <w:shd w:val="clear" w:color="auto" w:fill="auto"/>
            <w:noWrap/>
            <w:vAlign w:val="bottom"/>
            <w:hideMark/>
          </w:tcPr>
          <w:p w:rsidR="004B75F0" w:rsidRPr="00912F81" w:rsidRDefault="00A46452"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-12</w:t>
            </w:r>
            <w:r w:rsidR="004B75F0" w:rsidRPr="00912F81">
              <w:rPr>
                <w:rFonts w:asciiTheme="majorHAnsi" w:hAnsiTheme="majorHAnsi" w:cs="Arial"/>
                <w:color w:val="000000"/>
                <w:sz w:val="20"/>
                <w:szCs w:val="20"/>
                <w:lang w:eastAsia="tr-TR"/>
              </w:rPr>
              <w:t>%</w:t>
            </w:r>
          </w:p>
        </w:tc>
      </w:tr>
      <w:tr w:rsidR="004B75F0" w:rsidRPr="00912F81" w:rsidTr="00384FC3">
        <w:trPr>
          <w:trHeight w:val="225"/>
        </w:trPr>
        <w:tc>
          <w:tcPr>
            <w:tcW w:w="3701" w:type="dxa"/>
            <w:tcBorders>
              <w:top w:val="nil"/>
              <w:left w:val="nil"/>
              <w:bottom w:val="nil"/>
              <w:right w:val="nil"/>
            </w:tcBorders>
            <w:shd w:val="clear" w:color="auto" w:fill="auto"/>
            <w:noWrap/>
            <w:vAlign w:val="bottom"/>
            <w:hideMark/>
          </w:tcPr>
          <w:p w:rsidR="004B75F0" w:rsidRPr="00912F81" w:rsidRDefault="004B75F0" w:rsidP="00384FC3">
            <w:pPr>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Satılan Birinci El Konut Adedi</w:t>
            </w:r>
          </w:p>
        </w:tc>
        <w:tc>
          <w:tcPr>
            <w:tcW w:w="840" w:type="dxa"/>
            <w:tcBorders>
              <w:top w:val="nil"/>
              <w:left w:val="nil"/>
              <w:bottom w:val="nil"/>
              <w:right w:val="nil"/>
            </w:tcBorders>
            <w:shd w:val="clear" w:color="auto" w:fill="auto"/>
            <w:noWrap/>
            <w:vAlign w:val="bottom"/>
            <w:hideMark/>
          </w:tcPr>
          <w:p w:rsidR="004B75F0" w:rsidRPr="00912F81" w:rsidRDefault="00A46452"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52.399</w:t>
            </w:r>
          </w:p>
        </w:tc>
        <w:tc>
          <w:tcPr>
            <w:tcW w:w="840" w:type="dxa"/>
            <w:tcBorders>
              <w:top w:val="nil"/>
              <w:left w:val="nil"/>
              <w:bottom w:val="nil"/>
              <w:right w:val="nil"/>
            </w:tcBorders>
            <w:shd w:val="clear" w:color="auto" w:fill="auto"/>
            <w:noWrap/>
            <w:vAlign w:val="bottom"/>
            <w:hideMark/>
          </w:tcPr>
          <w:p w:rsidR="004B75F0" w:rsidRPr="00912F81" w:rsidRDefault="00A46452"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48.249</w:t>
            </w:r>
          </w:p>
        </w:tc>
        <w:tc>
          <w:tcPr>
            <w:tcW w:w="840" w:type="dxa"/>
            <w:tcBorders>
              <w:top w:val="nil"/>
              <w:left w:val="nil"/>
              <w:bottom w:val="nil"/>
              <w:right w:val="nil"/>
            </w:tcBorders>
            <w:shd w:val="clear" w:color="auto" w:fill="auto"/>
            <w:noWrap/>
            <w:vAlign w:val="bottom"/>
            <w:hideMark/>
          </w:tcPr>
          <w:p w:rsidR="004B75F0" w:rsidRPr="00912F81" w:rsidRDefault="00A46452"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-8</w:t>
            </w:r>
            <w:r w:rsidR="004B75F0" w:rsidRPr="00912F81">
              <w:rPr>
                <w:rFonts w:asciiTheme="majorHAnsi" w:hAnsiTheme="majorHAnsi" w:cs="Arial"/>
                <w:color w:val="000000"/>
                <w:sz w:val="20"/>
                <w:szCs w:val="20"/>
                <w:lang w:eastAsia="tr-TR"/>
              </w:rPr>
              <w:t>%</w:t>
            </w:r>
          </w:p>
        </w:tc>
      </w:tr>
      <w:tr w:rsidR="004B75F0" w:rsidRPr="00912F81" w:rsidTr="00384FC3">
        <w:trPr>
          <w:trHeight w:val="225"/>
        </w:trPr>
        <w:tc>
          <w:tcPr>
            <w:tcW w:w="3701" w:type="dxa"/>
            <w:tcBorders>
              <w:top w:val="nil"/>
              <w:left w:val="nil"/>
              <w:bottom w:val="nil"/>
              <w:right w:val="nil"/>
            </w:tcBorders>
            <w:shd w:val="clear" w:color="auto" w:fill="auto"/>
            <w:noWrap/>
            <w:vAlign w:val="bottom"/>
            <w:hideMark/>
          </w:tcPr>
          <w:p w:rsidR="004B75F0" w:rsidRPr="00912F81" w:rsidRDefault="004B75F0" w:rsidP="00384FC3">
            <w:pPr>
              <w:rPr>
                <w:rFonts w:asciiTheme="majorHAnsi" w:hAnsiTheme="majorHAnsi" w:cs="Arial"/>
                <w:color w:val="000000"/>
                <w:sz w:val="20"/>
                <w:szCs w:val="20"/>
                <w:lang w:eastAsia="tr-TR"/>
              </w:rPr>
            </w:pPr>
            <w:r w:rsidRPr="00912F81">
              <w:rPr>
                <w:rFonts w:asciiTheme="majorHAnsi" w:hAnsiTheme="majorHAnsi" w:cs="Arial"/>
                <w:color w:val="000000"/>
                <w:sz w:val="20"/>
                <w:szCs w:val="20"/>
                <w:lang w:eastAsia="tr-TR"/>
              </w:rPr>
              <w:t>Satılan İkinci El Konut Adedi</w:t>
            </w:r>
          </w:p>
        </w:tc>
        <w:tc>
          <w:tcPr>
            <w:tcW w:w="840" w:type="dxa"/>
            <w:tcBorders>
              <w:top w:val="nil"/>
              <w:left w:val="nil"/>
              <w:bottom w:val="nil"/>
              <w:right w:val="nil"/>
            </w:tcBorders>
            <w:shd w:val="clear" w:color="auto" w:fill="auto"/>
            <w:noWrap/>
            <w:vAlign w:val="bottom"/>
            <w:hideMark/>
          </w:tcPr>
          <w:p w:rsidR="004B75F0" w:rsidRPr="00912F81" w:rsidRDefault="00A46452"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68.555</w:t>
            </w:r>
          </w:p>
        </w:tc>
        <w:tc>
          <w:tcPr>
            <w:tcW w:w="840" w:type="dxa"/>
            <w:tcBorders>
              <w:top w:val="nil"/>
              <w:left w:val="nil"/>
              <w:bottom w:val="nil"/>
              <w:right w:val="nil"/>
            </w:tcBorders>
            <w:shd w:val="clear" w:color="auto" w:fill="auto"/>
            <w:noWrap/>
            <w:vAlign w:val="bottom"/>
            <w:hideMark/>
          </w:tcPr>
          <w:p w:rsidR="004B75F0" w:rsidRPr="00912F81" w:rsidRDefault="00A46452"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58.313</w:t>
            </w:r>
          </w:p>
        </w:tc>
        <w:tc>
          <w:tcPr>
            <w:tcW w:w="840" w:type="dxa"/>
            <w:tcBorders>
              <w:top w:val="nil"/>
              <w:left w:val="nil"/>
              <w:bottom w:val="nil"/>
              <w:right w:val="nil"/>
            </w:tcBorders>
            <w:shd w:val="clear" w:color="auto" w:fill="auto"/>
            <w:noWrap/>
            <w:vAlign w:val="bottom"/>
            <w:hideMark/>
          </w:tcPr>
          <w:p w:rsidR="004B75F0" w:rsidRPr="00912F81" w:rsidRDefault="00A46452" w:rsidP="00384FC3">
            <w:pPr>
              <w:jc w:val="right"/>
              <w:rPr>
                <w:rFonts w:asciiTheme="majorHAnsi" w:hAnsiTheme="majorHAnsi" w:cs="Arial"/>
                <w:color w:val="000000"/>
                <w:sz w:val="20"/>
                <w:szCs w:val="20"/>
                <w:lang w:eastAsia="tr-TR"/>
              </w:rPr>
            </w:pPr>
            <w:r>
              <w:rPr>
                <w:rFonts w:asciiTheme="majorHAnsi" w:hAnsiTheme="majorHAnsi" w:cs="Arial"/>
                <w:color w:val="000000"/>
                <w:sz w:val="20"/>
                <w:szCs w:val="20"/>
                <w:lang w:eastAsia="tr-TR"/>
              </w:rPr>
              <w:t>-15</w:t>
            </w:r>
            <w:r w:rsidR="004B75F0" w:rsidRPr="00912F81">
              <w:rPr>
                <w:rFonts w:asciiTheme="majorHAnsi" w:hAnsiTheme="majorHAnsi" w:cs="Arial"/>
                <w:color w:val="000000"/>
                <w:sz w:val="20"/>
                <w:szCs w:val="20"/>
                <w:lang w:eastAsia="tr-TR"/>
              </w:rPr>
              <w:t>%</w:t>
            </w:r>
          </w:p>
        </w:tc>
      </w:tr>
    </w:tbl>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rFonts w:asciiTheme="majorHAnsi" w:hAnsiTheme="majorHAnsi"/>
        </w:rPr>
        <w:t xml:space="preserve">Yukarıda görüldüğü üzere gerek Türkiye genelinde gerekse İstanbul ilinde konut satışları 2014 yılı ilk </w:t>
      </w:r>
      <w:r w:rsidR="00A46452">
        <w:rPr>
          <w:rFonts w:asciiTheme="majorHAnsi" w:hAnsiTheme="majorHAnsi"/>
        </w:rPr>
        <w:t>yarısında</w:t>
      </w:r>
      <w:r>
        <w:rPr>
          <w:rFonts w:asciiTheme="majorHAnsi" w:hAnsiTheme="majorHAnsi"/>
        </w:rPr>
        <w:t xml:space="preserve"> geçen senenin aynı dönemine göre %</w:t>
      </w:r>
      <w:r w:rsidR="00A46452">
        <w:rPr>
          <w:rFonts w:asciiTheme="majorHAnsi" w:hAnsiTheme="majorHAnsi"/>
        </w:rPr>
        <w:t>8-%12</w:t>
      </w:r>
      <w:r>
        <w:rPr>
          <w:rFonts w:asciiTheme="majorHAnsi" w:hAnsiTheme="majorHAnsi"/>
        </w:rPr>
        <w:t xml:space="preserve"> civarında bir azalma yaşamıştır.</w:t>
      </w:r>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rFonts w:asciiTheme="majorHAnsi" w:hAnsiTheme="majorHAnsi"/>
        </w:rPr>
        <w:t xml:space="preserve">Yapı ruhsatı alan daire sayısı 1 milyon TL’ye doğru giden bir sektörde, birinci elde satılan konut sayıları ise ilk </w:t>
      </w:r>
      <w:r w:rsidR="00A46452">
        <w:rPr>
          <w:rFonts w:asciiTheme="majorHAnsi" w:hAnsiTheme="majorHAnsi"/>
        </w:rPr>
        <w:t>altı</w:t>
      </w:r>
      <w:r>
        <w:rPr>
          <w:rFonts w:asciiTheme="majorHAnsi" w:hAnsiTheme="majorHAnsi"/>
        </w:rPr>
        <w:t xml:space="preserve"> ayda </w:t>
      </w:r>
      <w:r w:rsidR="00A46452">
        <w:rPr>
          <w:rFonts w:asciiTheme="majorHAnsi" w:hAnsiTheme="majorHAnsi"/>
        </w:rPr>
        <w:t>241</w:t>
      </w:r>
      <w:r>
        <w:rPr>
          <w:rFonts w:asciiTheme="majorHAnsi" w:hAnsiTheme="majorHAnsi"/>
        </w:rPr>
        <w:t xml:space="preserve"> bin civarında olup bugün itibariyle yıllık </w:t>
      </w:r>
      <w:r w:rsidR="00A46452">
        <w:rPr>
          <w:rFonts w:asciiTheme="majorHAnsi" w:hAnsiTheme="majorHAnsi"/>
        </w:rPr>
        <w:t>500</w:t>
      </w:r>
      <w:r>
        <w:rPr>
          <w:rFonts w:asciiTheme="majorHAnsi" w:hAnsiTheme="majorHAnsi"/>
        </w:rPr>
        <w:t xml:space="preserve"> bin adete doğru gitmektedir.</w:t>
      </w:r>
      <w:bookmarkStart w:id="0" w:name="_GoBack"/>
      <w:bookmarkEnd w:id="0"/>
    </w:p>
    <w:p w:rsidR="004B75F0" w:rsidRDefault="004B75F0" w:rsidP="004B75F0">
      <w:pPr>
        <w:jc w:val="both"/>
        <w:rPr>
          <w:rFonts w:asciiTheme="majorHAnsi" w:hAnsiTheme="majorHAnsi"/>
        </w:rPr>
      </w:pPr>
    </w:p>
    <w:p w:rsidR="004B75F0" w:rsidRDefault="004B75F0" w:rsidP="004B75F0">
      <w:pPr>
        <w:jc w:val="both"/>
        <w:rPr>
          <w:rFonts w:asciiTheme="majorHAnsi" w:hAnsiTheme="majorHAnsi"/>
        </w:rPr>
      </w:pPr>
      <w:r>
        <w:rPr>
          <w:rFonts w:asciiTheme="majorHAnsi" w:hAnsiTheme="majorHAnsi"/>
        </w:rPr>
        <w:t>Konut satışları verileri tapusu teslim edilen konutların sayısı göstermekte olduğunda, yapı ruhsatı alımı ile konut satışının (tapu tesliminin) gerçekleşmesi arasında bir zamanlama farkı olduğu gözden kaçırılmamalıdır. Ayrıca yapılan her dairenin satılmadığını, arsa sahiplerinin kendi arsalarında kendi kullanımları için bina inşa edebildikleri ve daha da önemlisi kentsel dönüşüm projelerinde inşa edilen konutların önemli bir kısmının önceki sahiplerine bırakıldığı ve bunlar nedeniyle tapuda herhangi bir satış işlemi gerçekleşmediği de unutulmamalıdır. Yine de takip ettiğimiz veriler üretim miktarında ciddi bir artış olduğunu, iki sene içinde bu artışın satış verilerine de yansıması gerektiğini, aksi durumun ise stok fazlasına işaret edeceğini söylemektedir.</w:t>
      </w:r>
    </w:p>
    <w:p w:rsidR="004B75F0" w:rsidRDefault="004B75F0" w:rsidP="009D1B4A"/>
    <w:p w:rsidR="009D1B4A" w:rsidRDefault="009D1B4A" w:rsidP="009D1B4A"/>
    <w:p w:rsidR="009D1B4A" w:rsidRDefault="009D1B4A" w:rsidP="009D1B4A"/>
    <w:sectPr w:rsidR="009D1B4A" w:rsidSect="009D1B4A">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EA" w:rsidRDefault="004965EA" w:rsidP="009D1B4A">
      <w:r>
        <w:separator/>
      </w:r>
    </w:p>
  </w:endnote>
  <w:endnote w:type="continuationSeparator" w:id="0">
    <w:p w:rsidR="004965EA" w:rsidRDefault="004965EA" w:rsidP="009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EA" w:rsidRDefault="004965EA" w:rsidP="009D1B4A">
      <w:r>
        <w:separator/>
      </w:r>
    </w:p>
  </w:footnote>
  <w:footnote w:type="continuationSeparator" w:id="0">
    <w:p w:rsidR="004965EA" w:rsidRDefault="004965EA" w:rsidP="009D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4A" w:rsidRDefault="004965E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9188" o:spid="_x0000_s2050" type="#_x0000_t75" style="position:absolute;margin-left:0;margin-top:0;width:597.1pt;height:841.9pt;z-index:-251657216;mso-position-horizontal:center;mso-position-horizontal-relative:margin;mso-position-vertical:center;mso-position-vertical-relative:margin" o:allowincell="f">
          <v:imagedata r:id="rId1" o:title="kk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4A" w:rsidRDefault="004965E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9189" o:spid="_x0000_s2051" type="#_x0000_t75" style="position:absolute;margin-left:0;margin-top:0;width:597.1pt;height:841.9pt;z-index:-251656192;mso-position-horizontal:center;mso-position-horizontal-relative:margin;mso-position-vertical:center;mso-position-vertical-relative:margin" o:allowincell="f">
          <v:imagedata r:id="rId1" o:title="kk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4A" w:rsidRDefault="004965E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9187" o:spid="_x0000_s2049" type="#_x0000_t75" style="position:absolute;margin-left:0;margin-top:0;width:597.1pt;height:841.9pt;z-index:-251658240;mso-position-horizontal:center;mso-position-horizontal-relative:margin;mso-position-vertical:center;mso-position-vertical-relative:margin" o:allowincell="f">
          <v:imagedata r:id="rId1" o:title="kk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4A"/>
    <w:rsid w:val="00047134"/>
    <w:rsid w:val="00047F7E"/>
    <w:rsid w:val="00162469"/>
    <w:rsid w:val="00417C90"/>
    <w:rsid w:val="004965EA"/>
    <w:rsid w:val="004B75F0"/>
    <w:rsid w:val="0066488B"/>
    <w:rsid w:val="00956E36"/>
    <w:rsid w:val="009D1B4A"/>
    <w:rsid w:val="009E2D11"/>
    <w:rsid w:val="00A46452"/>
    <w:rsid w:val="00B40B76"/>
    <w:rsid w:val="00BB6FDF"/>
    <w:rsid w:val="00CD6025"/>
    <w:rsid w:val="00E17758"/>
    <w:rsid w:val="00E62802"/>
    <w:rsid w:val="00FC2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F0"/>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9D1B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D1B4A"/>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semiHidden/>
    <w:rsid w:val="009D1B4A"/>
  </w:style>
  <w:style w:type="paragraph" w:styleId="Altbilgi">
    <w:name w:val="footer"/>
    <w:basedOn w:val="Normal"/>
    <w:link w:val="AltbilgiChar"/>
    <w:uiPriority w:val="99"/>
    <w:semiHidden/>
    <w:unhideWhenUsed/>
    <w:rsid w:val="009D1B4A"/>
    <w:pPr>
      <w:tabs>
        <w:tab w:val="center" w:pos="4536"/>
        <w:tab w:val="right" w:pos="9072"/>
      </w:tabs>
    </w:pPr>
  </w:style>
  <w:style w:type="character" w:customStyle="1" w:styleId="AltbilgiChar">
    <w:name w:val="Altbilgi Char"/>
    <w:basedOn w:val="VarsaylanParagrafYazTipi"/>
    <w:link w:val="Altbilgi"/>
    <w:uiPriority w:val="99"/>
    <w:semiHidden/>
    <w:rsid w:val="009D1B4A"/>
  </w:style>
  <w:style w:type="character" w:customStyle="1" w:styleId="Balk1Char">
    <w:name w:val="Başlık 1 Char"/>
    <w:basedOn w:val="VarsaylanParagrafYazTipi"/>
    <w:link w:val="Balk1"/>
    <w:uiPriority w:val="9"/>
    <w:rsid w:val="009D1B4A"/>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4B75F0"/>
    <w:rPr>
      <w:rFonts w:ascii="Tahoma" w:hAnsi="Tahoma" w:cs="Tahoma"/>
      <w:sz w:val="16"/>
      <w:szCs w:val="16"/>
    </w:rPr>
  </w:style>
  <w:style w:type="character" w:customStyle="1" w:styleId="BalonMetniChar">
    <w:name w:val="Balon Metni Char"/>
    <w:basedOn w:val="VarsaylanParagrafYazTipi"/>
    <w:link w:val="BalonMetni"/>
    <w:uiPriority w:val="99"/>
    <w:semiHidden/>
    <w:rsid w:val="004B75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F0"/>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9D1B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D1B4A"/>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semiHidden/>
    <w:rsid w:val="009D1B4A"/>
  </w:style>
  <w:style w:type="paragraph" w:styleId="Altbilgi">
    <w:name w:val="footer"/>
    <w:basedOn w:val="Normal"/>
    <w:link w:val="AltbilgiChar"/>
    <w:uiPriority w:val="99"/>
    <w:semiHidden/>
    <w:unhideWhenUsed/>
    <w:rsid w:val="009D1B4A"/>
    <w:pPr>
      <w:tabs>
        <w:tab w:val="center" w:pos="4536"/>
        <w:tab w:val="right" w:pos="9072"/>
      </w:tabs>
    </w:pPr>
  </w:style>
  <w:style w:type="character" w:customStyle="1" w:styleId="AltbilgiChar">
    <w:name w:val="Altbilgi Char"/>
    <w:basedOn w:val="VarsaylanParagrafYazTipi"/>
    <w:link w:val="Altbilgi"/>
    <w:uiPriority w:val="99"/>
    <w:semiHidden/>
    <w:rsid w:val="009D1B4A"/>
  </w:style>
  <w:style w:type="character" w:customStyle="1" w:styleId="Balk1Char">
    <w:name w:val="Başlık 1 Char"/>
    <w:basedOn w:val="VarsaylanParagrafYazTipi"/>
    <w:link w:val="Balk1"/>
    <w:uiPriority w:val="9"/>
    <w:rsid w:val="009D1B4A"/>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4B75F0"/>
    <w:rPr>
      <w:rFonts w:ascii="Tahoma" w:hAnsi="Tahoma" w:cs="Tahoma"/>
      <w:sz w:val="16"/>
      <w:szCs w:val="16"/>
    </w:rPr>
  </w:style>
  <w:style w:type="character" w:customStyle="1" w:styleId="BalonMetniChar">
    <w:name w:val="Balon Metni Char"/>
    <w:basedOn w:val="VarsaylanParagrafYazTipi"/>
    <w:link w:val="BalonMetni"/>
    <w:uiPriority w:val="99"/>
    <w:semiHidden/>
    <w:rsid w:val="004B75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P\Desktop\Google%20Drive\konutder\istatistikler\konutder%20istatistikler%20v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P\Desktop\Google%20Drive\konutder\istatistikler\konutder%20istatistikler%20v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'ruhsat tcmb'!$K$4</c:f>
              <c:strCache>
                <c:ptCount val="1"/>
                <c:pt idx="0">
                  <c:v>Yapı Ruhsatı Alan Daire Adedi</c:v>
                </c:pt>
              </c:strCache>
            </c:strRef>
          </c:tx>
          <c:invertIfNegative val="0"/>
          <c:dLbls>
            <c:dLbl>
              <c:idx val="4"/>
              <c:layout>
                <c:manualLayout>
                  <c:x val="0"/>
                  <c:y val="-2.7777777777777776E-2"/>
                </c:manualLayout>
              </c:layout>
              <c:showLegendKey val="0"/>
              <c:showVal val="1"/>
              <c:showCatName val="0"/>
              <c:showSerName val="0"/>
              <c:showPercent val="0"/>
              <c:showBubbleSize val="0"/>
            </c:dLbl>
            <c:dLbl>
              <c:idx val="7"/>
              <c:layout>
                <c:manualLayout>
                  <c:x val="0"/>
                  <c:y val="-4.6296296296296294E-2"/>
                </c:manualLayout>
              </c:layout>
              <c:showLegendKey val="0"/>
              <c:showVal val="1"/>
              <c:showCatName val="0"/>
              <c:showSerName val="0"/>
              <c:showPercent val="0"/>
              <c:showBubbleSize val="0"/>
            </c:dLbl>
            <c:txPr>
              <a:bodyPr rot="0" vert="horz"/>
              <a:lstStyle/>
              <a:p>
                <a:pPr>
                  <a:defRPr/>
                </a:pPr>
                <a:endParaRPr lang="tr-TR"/>
              </a:p>
            </c:txPr>
            <c:showLegendKey val="0"/>
            <c:showVal val="1"/>
            <c:showCatName val="0"/>
            <c:showSerName val="0"/>
            <c:showPercent val="0"/>
            <c:showBubbleSize val="0"/>
            <c:showLeaderLines val="0"/>
          </c:dLbls>
          <c:cat>
            <c:strRef>
              <c:f>'ruhsat tcmb'!$J$5:$J$16</c:f>
              <c:strCach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strCache>
            </c:strRef>
          </c:cat>
          <c:val>
            <c:numRef>
              <c:f>'ruhsat tcmb'!$K$5:$K$16</c:f>
              <c:numCache>
                <c:formatCode>#,##0</c:formatCode>
                <c:ptCount val="12"/>
                <c:pt idx="0">
                  <c:v>161920</c:v>
                </c:pt>
                <c:pt idx="1">
                  <c:v>202854</c:v>
                </c:pt>
                <c:pt idx="2">
                  <c:v>324589</c:v>
                </c:pt>
                <c:pt idx="3">
                  <c:v>546618</c:v>
                </c:pt>
                <c:pt idx="4">
                  <c:v>600387</c:v>
                </c:pt>
                <c:pt idx="5">
                  <c:v>581696</c:v>
                </c:pt>
                <c:pt idx="6">
                  <c:v>503565</c:v>
                </c:pt>
                <c:pt idx="7">
                  <c:v>518475</c:v>
                </c:pt>
                <c:pt idx="8">
                  <c:v>858143</c:v>
                </c:pt>
                <c:pt idx="9">
                  <c:v>645655</c:v>
                </c:pt>
                <c:pt idx="10">
                  <c:v>745872</c:v>
                </c:pt>
                <c:pt idx="11">
                  <c:v>814031</c:v>
                </c:pt>
              </c:numCache>
            </c:numRef>
          </c:val>
        </c:ser>
        <c:dLbls>
          <c:showLegendKey val="0"/>
          <c:showVal val="0"/>
          <c:showCatName val="0"/>
          <c:showSerName val="0"/>
          <c:showPercent val="0"/>
          <c:showBubbleSize val="0"/>
        </c:dLbls>
        <c:gapWidth val="75"/>
        <c:overlap val="-25"/>
        <c:axId val="39841792"/>
        <c:axId val="39843328"/>
      </c:barChart>
      <c:catAx>
        <c:axId val="39841792"/>
        <c:scaling>
          <c:orientation val="minMax"/>
        </c:scaling>
        <c:delete val="0"/>
        <c:axPos val="b"/>
        <c:majorTickMark val="none"/>
        <c:minorTickMark val="none"/>
        <c:tickLblPos val="nextTo"/>
        <c:crossAx val="39843328"/>
        <c:crosses val="autoZero"/>
        <c:auto val="1"/>
        <c:lblAlgn val="ctr"/>
        <c:lblOffset val="100"/>
        <c:noMultiLvlLbl val="0"/>
      </c:catAx>
      <c:valAx>
        <c:axId val="39843328"/>
        <c:scaling>
          <c:orientation val="minMax"/>
        </c:scaling>
        <c:delete val="0"/>
        <c:axPos val="l"/>
        <c:numFmt formatCode="#,##0" sourceLinked="1"/>
        <c:majorTickMark val="none"/>
        <c:minorTickMark val="none"/>
        <c:tickLblPos val="nextTo"/>
        <c:spPr>
          <a:ln w="9525">
            <a:noFill/>
          </a:ln>
        </c:spPr>
        <c:crossAx val="39841792"/>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'ruhsat tcmb'!$T$2</c:f>
              <c:strCache>
                <c:ptCount val="1"/>
                <c:pt idx="0">
                  <c:v>Yapı Kullanma İzni Alan Daire Adedi</c:v>
                </c:pt>
              </c:strCache>
            </c:strRef>
          </c:tx>
          <c:invertIfNegative val="0"/>
          <c:dLbls>
            <c:dLbl>
              <c:idx val="0"/>
              <c:layout>
                <c:manualLayout>
                  <c:x val="-2.1750951604132679E-3"/>
                  <c:y val="-3.7037037037037035E-2"/>
                </c:manualLayout>
              </c:layout>
              <c:showLegendKey val="0"/>
              <c:showVal val="1"/>
              <c:showCatName val="0"/>
              <c:showSerName val="0"/>
              <c:showPercent val="0"/>
              <c:showBubbleSize val="0"/>
            </c:dLbl>
            <c:dLbl>
              <c:idx val="2"/>
              <c:layout>
                <c:manualLayout>
                  <c:x val="0"/>
                  <c:y val="-2.7777777777777776E-2"/>
                </c:manualLayout>
              </c:layout>
              <c:showLegendKey val="0"/>
              <c:showVal val="1"/>
              <c:showCatName val="0"/>
              <c:showSerName val="0"/>
              <c:showPercent val="0"/>
              <c:showBubbleSize val="0"/>
            </c:dLbl>
            <c:dLbl>
              <c:idx val="4"/>
              <c:layout>
                <c:manualLayout>
                  <c:x val="0"/>
                  <c:y val="-2.7777777777777776E-2"/>
                </c:manualLayout>
              </c:layout>
              <c:showLegendKey val="0"/>
              <c:showVal val="1"/>
              <c:showCatName val="0"/>
              <c:showSerName val="0"/>
              <c:showPercent val="0"/>
              <c:showBubbleSize val="0"/>
            </c:dLbl>
            <c:dLbl>
              <c:idx val="5"/>
              <c:layout>
                <c:manualLayout>
                  <c:x val="-2.1750951604132679E-3"/>
                  <c:y val="-3.2407407407407406E-2"/>
                </c:manualLayout>
              </c:layout>
              <c:showLegendKey val="0"/>
              <c:showVal val="1"/>
              <c:showCatName val="0"/>
              <c:showSerName val="0"/>
              <c:showPercent val="0"/>
              <c:showBubbleSize val="0"/>
            </c:dLbl>
            <c:dLbl>
              <c:idx val="6"/>
              <c:layout>
                <c:manualLayout>
                  <c:x val="0"/>
                  <c:y val="-4.1666666666666623E-2"/>
                </c:manualLayout>
              </c:layout>
              <c:showLegendKey val="0"/>
              <c:showVal val="1"/>
              <c:showCatName val="0"/>
              <c:showSerName val="0"/>
              <c:showPercent val="0"/>
              <c:showBubbleSize val="0"/>
            </c:dLbl>
            <c:dLbl>
              <c:idx val="7"/>
              <c:layout>
                <c:manualLayout>
                  <c:x val="0"/>
                  <c:y val="-4.6296296296296294E-2"/>
                </c:manualLayout>
              </c:layout>
              <c:showLegendKey val="0"/>
              <c:showVal val="1"/>
              <c:showCatName val="0"/>
              <c:showSerName val="0"/>
              <c:showPercent val="0"/>
              <c:showBubbleSize val="0"/>
            </c:dLbl>
            <c:dLbl>
              <c:idx val="9"/>
              <c:layout>
                <c:manualLayout>
                  <c:x val="-4.3501903208265358E-3"/>
                  <c:y val="-2.3148148148148147E-2"/>
                </c:manualLayout>
              </c:layout>
              <c:showLegendKey val="0"/>
              <c:showVal val="1"/>
              <c:showCatName val="0"/>
              <c:showSerName val="0"/>
              <c:showPercent val="0"/>
              <c:showBubbleSize val="0"/>
            </c:dLbl>
            <c:txPr>
              <a:bodyPr rot="0" vert="horz"/>
              <a:lstStyle/>
              <a:p>
                <a:pPr>
                  <a:defRPr/>
                </a:pPr>
                <a:endParaRPr lang="tr-TR"/>
              </a:p>
            </c:txPr>
            <c:showLegendKey val="0"/>
            <c:showVal val="1"/>
            <c:showCatName val="0"/>
            <c:showSerName val="0"/>
            <c:showPercent val="0"/>
            <c:showBubbleSize val="0"/>
            <c:showLeaderLines val="0"/>
          </c:dLbls>
          <c:cat>
            <c:strRef>
              <c:f>'ruhsat tcmb'!$S$3:$S$14</c:f>
              <c:strCach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strCache>
            </c:strRef>
          </c:cat>
          <c:val>
            <c:numRef>
              <c:f>'ruhsat tcmb'!$T$3:$T$14</c:f>
              <c:numCache>
                <c:formatCode>#,##0</c:formatCode>
                <c:ptCount val="12"/>
                <c:pt idx="0">
                  <c:v>161491</c:v>
                </c:pt>
                <c:pt idx="1">
                  <c:v>162906</c:v>
                </c:pt>
                <c:pt idx="2">
                  <c:v>174780</c:v>
                </c:pt>
                <c:pt idx="3">
                  <c:v>249816</c:v>
                </c:pt>
                <c:pt idx="4">
                  <c:v>295389</c:v>
                </c:pt>
                <c:pt idx="5">
                  <c:v>325330</c:v>
                </c:pt>
                <c:pt idx="6">
                  <c:v>357286</c:v>
                </c:pt>
                <c:pt idx="7">
                  <c:v>469981</c:v>
                </c:pt>
                <c:pt idx="8">
                  <c:v>415757</c:v>
                </c:pt>
                <c:pt idx="9">
                  <c:v>549920</c:v>
                </c:pt>
                <c:pt idx="10">
                  <c:v>542036</c:v>
                </c:pt>
                <c:pt idx="11">
                  <c:v>698571</c:v>
                </c:pt>
              </c:numCache>
            </c:numRef>
          </c:val>
        </c:ser>
        <c:dLbls>
          <c:showLegendKey val="0"/>
          <c:showVal val="0"/>
          <c:showCatName val="0"/>
          <c:showSerName val="0"/>
          <c:showPercent val="0"/>
          <c:showBubbleSize val="0"/>
        </c:dLbls>
        <c:gapWidth val="75"/>
        <c:overlap val="-25"/>
        <c:axId val="42117376"/>
        <c:axId val="42868736"/>
      </c:barChart>
      <c:catAx>
        <c:axId val="42117376"/>
        <c:scaling>
          <c:orientation val="minMax"/>
        </c:scaling>
        <c:delete val="0"/>
        <c:axPos val="b"/>
        <c:majorTickMark val="none"/>
        <c:minorTickMark val="none"/>
        <c:tickLblPos val="nextTo"/>
        <c:crossAx val="42868736"/>
        <c:crosses val="autoZero"/>
        <c:auto val="1"/>
        <c:lblAlgn val="ctr"/>
        <c:lblOffset val="100"/>
        <c:noMultiLvlLbl val="0"/>
      </c:catAx>
      <c:valAx>
        <c:axId val="42868736"/>
        <c:scaling>
          <c:orientation val="minMax"/>
        </c:scaling>
        <c:delete val="0"/>
        <c:axPos val="l"/>
        <c:numFmt formatCode="#,##0" sourceLinked="1"/>
        <c:majorTickMark val="none"/>
        <c:minorTickMark val="none"/>
        <c:tickLblPos val="nextTo"/>
        <c:spPr>
          <a:ln w="9525">
            <a:noFill/>
          </a:ln>
        </c:spPr>
        <c:crossAx val="42117376"/>
        <c:crosses val="autoZero"/>
        <c:crossBetween val="between"/>
      </c:val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0.31863</cdr:x>
      <cdr:y>0.22222</cdr:y>
    </cdr:from>
    <cdr:to>
      <cdr:x>0.98203</cdr:x>
      <cdr:y>0.38194</cdr:y>
    </cdr:to>
    <cdr:grpSp>
      <cdr:nvGrpSpPr>
        <cdr:cNvPr id="8" name="Grup 7"/>
        <cdr:cNvGrpSpPr/>
      </cdr:nvGrpSpPr>
      <cdr:grpSpPr>
        <a:xfrm xmlns:a="http://schemas.openxmlformats.org/drawingml/2006/main">
          <a:off x="1857374" y="609600"/>
          <a:ext cx="3867151" cy="438150"/>
          <a:chOff x="1857374" y="609600"/>
          <a:chExt cx="3867151" cy="438150"/>
        </a:xfrm>
      </cdr:grpSpPr>
      <cdr:cxnSp macro="">
        <cdr:nvCxnSpPr>
          <cdr:cNvPr id="2" name="Düz Bağlayıcı 1"/>
          <cdr:cNvCxnSpPr/>
        </cdr:nvCxnSpPr>
        <cdr:spPr>
          <a:xfrm xmlns:a="http://schemas.openxmlformats.org/drawingml/2006/main">
            <a:off x="1857374" y="1047750"/>
            <a:ext cx="2162176" cy="0"/>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 name="Düz Bağlayıcı 4"/>
          <cdr:cNvCxnSpPr/>
        </cdr:nvCxnSpPr>
        <cdr:spPr>
          <a:xfrm xmlns:a="http://schemas.openxmlformats.org/drawingml/2006/main">
            <a:off x="4057650" y="609600"/>
            <a:ext cx="1666875" cy="0"/>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624</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TUZCUOGLU</dc:creator>
  <cp:lastModifiedBy>Tunç KARABULUT</cp:lastModifiedBy>
  <cp:revision>6</cp:revision>
  <dcterms:created xsi:type="dcterms:W3CDTF">2014-08-26T08:34:00Z</dcterms:created>
  <dcterms:modified xsi:type="dcterms:W3CDTF">2014-08-26T11:43:00Z</dcterms:modified>
</cp:coreProperties>
</file>