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7443">
      <w:pPr>
        <w:pStyle w:val="Balk1"/>
        <w:rPr>
          <w:rFonts w:eastAsia="Times New Roman"/>
          <w:sz w:val="27"/>
          <w:szCs w:val="27"/>
        </w:rPr>
      </w:pPr>
      <w:r>
        <w:rPr>
          <w:rFonts w:eastAsia="Times New Roman"/>
          <w:sz w:val="27"/>
          <w:szCs w:val="27"/>
        </w:rPr>
        <w:t>TSKB GAYRİMENKUL YATIRIM ORTAKLIĞI A.Ş.</w:t>
      </w:r>
    </w:p>
    <w:p w:rsidR="00000000" w:rsidRDefault="00E37443">
      <w:pPr>
        <w:pStyle w:val="Balk1"/>
        <w:rPr>
          <w:rFonts w:eastAsia="Times New Roman"/>
          <w:sz w:val="27"/>
          <w:szCs w:val="27"/>
        </w:rPr>
      </w:pPr>
      <w:r>
        <w:rPr>
          <w:rFonts w:eastAsia="Times New Roman"/>
          <w:sz w:val="27"/>
          <w:szCs w:val="27"/>
        </w:rPr>
        <w:t xml:space="preserve">Değerleme Raporu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r>
    </w:tbl>
    <w:p w:rsidR="00000000" w:rsidRDefault="00E37443">
      <w:pPr>
        <w:rPr>
          <w:rFonts w:eastAsia="Times New Roman"/>
          <w:vanish/>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4"/>
        <w:gridCol w:w="3406"/>
        <w:gridCol w:w="4476"/>
        <w:gridCol w:w="515"/>
        <w:gridCol w:w="111"/>
      </w:tblGrid>
      <w:tr w:rsidR="00000000">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1854802126"/>
              <w:rPr>
                <w:rFonts w:eastAsia="Times New Roman"/>
                <w:sz w:val="15"/>
                <w:szCs w:val="15"/>
              </w:rPr>
            </w:pPr>
            <w:r>
              <w:rPr>
                <w:rFonts w:eastAsia="Times New Roman"/>
                <w:sz w:val="15"/>
                <w:szCs w:val="15"/>
              </w:rPr>
              <w:t xml:space="preserve">İlgili Şirketler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751435850"/>
              <w:rPr>
                <w:rFonts w:eastAsia="Times New Roman"/>
                <w:sz w:val="15"/>
                <w:szCs w:val="15"/>
              </w:rPr>
            </w:pPr>
            <w:r>
              <w:rPr>
                <w:rFonts w:eastAsia="Times New Roman"/>
                <w:sz w:val="15"/>
                <w:szCs w:val="15"/>
              </w:rPr>
              <w:t xml:space="preserve">[] </w:t>
            </w:r>
          </w:p>
        </w:tc>
      </w:tr>
      <w:tr w:rsidR="00000000">
        <w:trPr>
          <w:gridAfter w:val="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350104710"/>
              <w:rPr>
                <w:rFonts w:eastAsia="Times New Roman"/>
                <w:sz w:val="15"/>
                <w:szCs w:val="15"/>
              </w:rPr>
            </w:pPr>
            <w:r>
              <w:rPr>
                <w:rFonts w:eastAsia="Times New Roman"/>
                <w:sz w:val="15"/>
                <w:szCs w:val="15"/>
              </w:rPr>
              <w:t xml:space="preserve">İlgili Fonlar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728841081"/>
              <w:rPr>
                <w:rFonts w:eastAsia="Times New Roman"/>
                <w:sz w:val="15"/>
                <w:szCs w:val="15"/>
              </w:rPr>
            </w:pPr>
            <w:r>
              <w:rPr>
                <w:rFonts w:eastAsia="Times New Roman"/>
                <w:sz w:val="15"/>
                <w:szCs w:val="15"/>
              </w:rPr>
              <w:t xml:space="preserve">[] </w:t>
            </w:r>
          </w:p>
        </w:tc>
      </w:tr>
      <w:tr w:rsidR="00000000">
        <w:trPr>
          <w:gridAfter w:val="2"/>
          <w:trHeight w:val="172"/>
          <w:tblCellSpacing w:w="15"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r>
      <w:tr w:rsidR="00000000">
        <w:trPr>
          <w:gridAfter w:val="1"/>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jc w:val="center"/>
              <w:divId w:val="70742274"/>
              <w:rPr>
                <w:rFonts w:eastAsia="Times New Roman"/>
                <w:sz w:val="15"/>
                <w:szCs w:val="15"/>
              </w:rPr>
            </w:pPr>
            <w:r>
              <w:rPr>
                <w:rFonts w:eastAsia="Times New Roman"/>
                <w:sz w:val="15"/>
                <w:szCs w:val="15"/>
              </w:rPr>
              <w:t xml:space="preserve">Türkçe </w:t>
            </w:r>
          </w:p>
        </w:tc>
      </w:tr>
      <w:tr w:rsidR="00000000">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00000" w:rsidRDefault="00E37443">
            <w:pPr>
              <w:divId w:val="854003263"/>
              <w:rPr>
                <w:rFonts w:eastAsia="Times New Roman"/>
                <w:sz w:val="15"/>
                <w:szCs w:val="15"/>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8"/>
              <w:gridCol w:w="36"/>
              <w:gridCol w:w="36"/>
              <w:gridCol w:w="36"/>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divId w:val="204030168"/>
                    <w:rPr>
                      <w:rFonts w:eastAsia="Times New Roman"/>
                      <w:sz w:val="15"/>
                      <w:szCs w:val="15"/>
                    </w:rPr>
                  </w:pPr>
                  <w:r>
                    <w:rPr>
                      <w:rFonts w:eastAsia="Times New Roman"/>
                      <w:sz w:val="15"/>
                      <w:szCs w:val="15"/>
                    </w:rPr>
                    <w:t xml:space="preserve">Değerleme Raporu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r>
          </w:tbl>
          <w:p w:rsidR="00000000" w:rsidRDefault="00E37443">
            <w:pPr>
              <w:rPr>
                <w:rFonts w:eastAsia="Times New Roman"/>
                <w:sz w:val="15"/>
                <w:szCs w:val="15"/>
              </w:rPr>
            </w:pP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0"/>
              <w:gridCol w:w="36"/>
              <w:gridCol w:w="36"/>
              <w:gridCol w:w="36"/>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divId w:val="1245608881"/>
                    <w:rPr>
                      <w:rFonts w:eastAsia="Times New Roman"/>
                      <w:sz w:val="15"/>
                      <w:szCs w:val="15"/>
                    </w:rPr>
                  </w:pPr>
                  <w:r>
                    <w:rPr>
                      <w:rFonts w:eastAsia="Times New Roman"/>
                      <w:sz w:val="15"/>
                      <w:szCs w:val="15"/>
                    </w:rPr>
                    <w:t xml:space="preserve">Yapılan Açıklama Güncelleme mi?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r>
          </w:tbl>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1449158296"/>
              <w:rPr>
                <w:rFonts w:eastAsia="Times New Roman"/>
                <w:sz w:val="15"/>
                <w:szCs w:val="15"/>
              </w:rPr>
            </w:pPr>
            <w:r>
              <w:rPr>
                <w:rFonts w:eastAsia="Times New Roman"/>
                <w:sz w:val="15"/>
                <w:szCs w:val="15"/>
              </w:rPr>
              <w:t xml:space="preserve">Evet (Yes) </w:t>
            </w: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9"/>
              <w:gridCol w:w="36"/>
              <w:gridCol w:w="36"/>
              <w:gridCol w:w="36"/>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divId w:val="1219902482"/>
                    <w:rPr>
                      <w:rFonts w:eastAsia="Times New Roman"/>
                      <w:sz w:val="15"/>
                      <w:szCs w:val="15"/>
                    </w:rPr>
                  </w:pPr>
                  <w:r>
                    <w:rPr>
                      <w:rFonts w:eastAsia="Times New Roman"/>
                      <w:sz w:val="15"/>
                      <w:szCs w:val="15"/>
                    </w:rPr>
                    <w:t xml:space="preserve">Yapılan Açıklama Düzeltme mi?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r>
          </w:tbl>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102893932"/>
              <w:rPr>
                <w:rFonts w:eastAsia="Times New Roman"/>
                <w:sz w:val="15"/>
                <w:szCs w:val="15"/>
              </w:rPr>
            </w:pPr>
            <w:r>
              <w:rPr>
                <w:rFonts w:eastAsia="Times New Roman"/>
                <w:sz w:val="15"/>
                <w:szCs w:val="15"/>
              </w:rPr>
              <w:t xml:space="preserve">Hayır (No) </w:t>
            </w: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2"/>
              <w:gridCol w:w="36"/>
              <w:gridCol w:w="36"/>
              <w:gridCol w:w="36"/>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divId w:val="264072837"/>
                    <w:rPr>
                      <w:rFonts w:eastAsia="Times New Roman"/>
                      <w:sz w:val="15"/>
                      <w:szCs w:val="15"/>
                    </w:rPr>
                  </w:pPr>
                  <w:r>
                    <w:rPr>
                      <w:rFonts w:eastAsia="Times New Roman"/>
                      <w:sz w:val="15"/>
                      <w:szCs w:val="15"/>
                    </w:rPr>
                    <w:t xml:space="preserve">Konuya İlişkin Daha Önce Yapılan Açıklamanın Tarihi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r>
          </w:tbl>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240915500"/>
              <w:rPr>
                <w:rFonts w:eastAsia="Times New Roman"/>
                <w:sz w:val="15"/>
                <w:szCs w:val="15"/>
              </w:rPr>
            </w:pPr>
            <w:r>
              <w:rPr>
                <w:rFonts w:eastAsia="Times New Roman"/>
                <w:sz w:val="15"/>
                <w:szCs w:val="15"/>
              </w:rPr>
              <w:t xml:space="preserve">31.12.2015 </w:t>
            </w: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8"/>
              <w:gridCol w:w="36"/>
              <w:gridCol w:w="36"/>
              <w:gridCol w:w="36"/>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divId w:val="1221090729"/>
                    <w:rPr>
                      <w:rFonts w:eastAsia="Times New Roman"/>
                      <w:sz w:val="15"/>
                      <w:szCs w:val="15"/>
                    </w:rPr>
                  </w:pPr>
                  <w:r>
                    <w:rPr>
                      <w:rFonts w:eastAsia="Times New Roman"/>
                      <w:sz w:val="15"/>
                      <w:szCs w:val="15"/>
                    </w:rPr>
                    <w:t xml:space="preserve">Bildirim İçeriği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r>
          </w:tbl>
          <w:p w:rsidR="00000000" w:rsidRDefault="00E37443">
            <w:pPr>
              <w:rPr>
                <w:rFonts w:eastAsia="Times New Roman"/>
                <w:sz w:val="15"/>
                <w:szCs w:val="15"/>
              </w:rPr>
            </w:pP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55"/>
              <w:gridCol w:w="36"/>
              <w:gridCol w:w="36"/>
              <w:gridCol w:w="36"/>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divId w:val="1086996659"/>
                    <w:rPr>
                      <w:rFonts w:eastAsia="Times New Roman"/>
                      <w:sz w:val="15"/>
                      <w:szCs w:val="15"/>
                    </w:rPr>
                  </w:pPr>
                  <w:r>
                    <w:rPr>
                      <w:rFonts w:eastAsia="Times New Roman"/>
                      <w:sz w:val="15"/>
                      <w:szCs w:val="15"/>
                    </w:rPr>
                    <w:t xml:space="preserve">Değerlemeyi Yapan Kuruluş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r>
          </w:tbl>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905190929"/>
              <w:rPr>
                <w:rFonts w:eastAsia="Times New Roman"/>
                <w:sz w:val="15"/>
                <w:szCs w:val="15"/>
              </w:rPr>
            </w:pPr>
            <w:r>
              <w:rPr>
                <w:rFonts w:eastAsia="Times New Roman"/>
                <w:sz w:val="15"/>
                <w:szCs w:val="15"/>
              </w:rPr>
              <w:t>Nova Taşınmaz Değerleme ve Danışmanlık A.Ş.</w:t>
            </w:r>
            <w:r>
              <w:rPr>
                <w:rFonts w:eastAsia="Times New Roman"/>
                <w:sz w:val="15"/>
                <w:szCs w:val="15"/>
              </w:rPr>
              <w:t xml:space="preserve"> </w:t>
            </w: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1"/>
              <w:gridCol w:w="36"/>
              <w:gridCol w:w="36"/>
              <w:gridCol w:w="36"/>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divId w:val="1915816192"/>
                    <w:rPr>
                      <w:rFonts w:eastAsia="Times New Roman"/>
                      <w:sz w:val="15"/>
                      <w:szCs w:val="15"/>
                    </w:rPr>
                  </w:pPr>
                  <w:r>
                    <w:rPr>
                      <w:rFonts w:eastAsia="Times New Roman"/>
                      <w:sz w:val="15"/>
                      <w:szCs w:val="15"/>
                    </w:rPr>
                    <w:t xml:space="preserve">Değerleme Raporunun İçeriği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r>
          </w:tbl>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1212309496"/>
              <w:rPr>
                <w:rFonts w:eastAsia="Times New Roman"/>
                <w:sz w:val="15"/>
                <w:szCs w:val="15"/>
              </w:rPr>
            </w:pPr>
            <w:r>
              <w:rPr>
                <w:rFonts w:eastAsia="Times New Roman"/>
                <w:sz w:val="15"/>
                <w:szCs w:val="15"/>
              </w:rPr>
              <w:t xml:space="preserve">Divan Adana Oteli ve Bağımsız Bölümlerine İlişkin Yıl Sonu Revize Değerleme Raporu </w:t>
            </w: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1"/>
              <w:gridCol w:w="36"/>
              <w:gridCol w:w="36"/>
              <w:gridCol w:w="36"/>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divId w:val="263655241"/>
                    <w:rPr>
                      <w:rFonts w:eastAsia="Times New Roman"/>
                      <w:sz w:val="15"/>
                      <w:szCs w:val="15"/>
                    </w:rPr>
                  </w:pPr>
                  <w:r>
                    <w:rPr>
                      <w:rFonts w:eastAsia="Times New Roman"/>
                      <w:sz w:val="15"/>
                      <w:szCs w:val="15"/>
                    </w:rPr>
                    <w:t xml:space="preserve">Rapor Tarihi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r>
          </w:tbl>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divId w:val="1618563558"/>
              <w:rPr>
                <w:rFonts w:eastAsia="Times New Roman"/>
                <w:sz w:val="15"/>
                <w:szCs w:val="15"/>
              </w:rPr>
            </w:pPr>
            <w:r>
              <w:rPr>
                <w:rFonts w:eastAsia="Times New Roman"/>
                <w:sz w:val="15"/>
                <w:szCs w:val="15"/>
              </w:rPr>
              <w:t xml:space="preserve">28.07.2016 </w:t>
            </w: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2"/>
              <w:gridCol w:w="36"/>
              <w:gridCol w:w="36"/>
              <w:gridCol w:w="36"/>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divId w:val="1695762832"/>
                    <w:rPr>
                      <w:rFonts w:eastAsia="Times New Roman"/>
                      <w:sz w:val="15"/>
                      <w:szCs w:val="15"/>
                    </w:rPr>
                  </w:pPr>
                  <w:r>
                    <w:rPr>
                      <w:rFonts w:eastAsia="Times New Roman"/>
                      <w:sz w:val="15"/>
                      <w:szCs w:val="15"/>
                    </w:rPr>
                    <w:t xml:space="preserve">Açıklamalar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hideMark/>
                </w:tcPr>
                <w:p w:rsidR="00000000" w:rsidRDefault="00E37443">
                  <w:pPr>
                    <w:rPr>
                      <w:rFonts w:eastAsia="Times New Roman"/>
                      <w:sz w:val="15"/>
                      <w:szCs w:val="15"/>
                    </w:rPr>
                  </w:pPr>
                </w:p>
              </w:tc>
            </w:tr>
          </w:tbl>
          <w:p w:rsidR="00000000" w:rsidRDefault="00E37443">
            <w:pPr>
              <w:rPr>
                <w:rFonts w:eastAsia="Times New Roman"/>
                <w:sz w:val="15"/>
                <w:szCs w:val="15"/>
              </w:rPr>
            </w:pP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37443">
            <w:pPr>
              <w:rPr>
                <w:rFonts w:eastAsia="Times New Roman"/>
                <w:sz w:val="15"/>
                <w:szCs w:val="15"/>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E37443">
            <w:pPr>
              <w:spacing w:before="100" w:beforeAutospacing="1" w:after="100" w:afterAutospacing="1"/>
              <w:divId w:val="811285779"/>
            </w:pPr>
            <w:r>
              <w:t>Şirketimiz </w:t>
            </w:r>
            <w:r>
              <w:t>portföyünde yer alan Divan Adana Oteli ve Bağımsız Bölümleri ile ilgili olarak 2015 yıl sonunda Nova Taşınmaz Değerleme ve Danışmanlık A.Ş. tarafından hazırlanan değerleme raporu Sermaye Piyasası Kurulu tarafından incelenmiş olup, 01/07/2016 Tarih ve 12233</w:t>
            </w:r>
            <w:r>
              <w:t>903-325.07-E.7576 Sayılı yazı ile revize edilmesi talep edilmiştir</w:t>
            </w:r>
            <w:r>
              <w:t>.</w:t>
            </w:r>
          </w:p>
          <w:p w:rsidR="00000000" w:rsidRDefault="00E37443">
            <w:pPr>
              <w:pStyle w:val="NormalWeb"/>
              <w:divId w:val="811285779"/>
              <w:rPr>
                <w:sz w:val="15"/>
                <w:szCs w:val="15"/>
              </w:rPr>
            </w:pPr>
            <w:r>
              <w:rPr>
                <w:sz w:val="15"/>
                <w:szCs w:val="15"/>
              </w:rPr>
              <w:t>  </w:t>
            </w:r>
          </w:p>
          <w:p w:rsidR="00000000" w:rsidRDefault="00E37443">
            <w:pPr>
              <w:spacing w:before="100" w:beforeAutospacing="1" w:after="100" w:afterAutospacing="1"/>
              <w:divId w:val="811285779"/>
            </w:pPr>
            <w:r>
              <w:t>Talebe istinaden Nova Taşınmaz Değerleme ve Danışmanlık A.Ş. tarafından revize edilmiş Divan Adana Oteli ve Bağımsız Bölümlerine ilişkin değerleme raporu ekte yer almaktadır</w:t>
            </w:r>
            <w:r>
              <w:t>.</w:t>
            </w:r>
          </w:p>
        </w:tc>
        <w:tc>
          <w:tcPr>
            <w:tcW w:w="0" w:type="auto"/>
            <w:vAlign w:val="center"/>
            <w:hideMark/>
          </w:tcPr>
          <w:p w:rsidR="00000000" w:rsidRDefault="00E37443">
            <w:pPr>
              <w:rPr>
                <w:rFonts w:eastAsia="Times New Roman"/>
                <w:sz w:val="20"/>
                <w:szCs w:val="20"/>
              </w:rPr>
            </w:pPr>
          </w:p>
        </w:tc>
        <w:tc>
          <w:tcPr>
            <w:tcW w:w="0" w:type="auto"/>
            <w:vAlign w:val="center"/>
            <w:hideMark/>
          </w:tcPr>
          <w:p w:rsidR="00000000" w:rsidRDefault="00E37443">
            <w:pPr>
              <w:rPr>
                <w:rFonts w:eastAsia="Times New Roman"/>
                <w:sz w:val="20"/>
                <w:szCs w:val="20"/>
              </w:rPr>
            </w:pPr>
          </w:p>
        </w:tc>
      </w:tr>
    </w:tbl>
    <w:p w:rsidR="00E37443" w:rsidRDefault="00E37443">
      <w:pPr>
        <w:rPr>
          <w:rFonts w:eastAsia="Times New Roman"/>
        </w:rPr>
      </w:pPr>
    </w:p>
    <w:sectPr w:rsidR="00E374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367C28"/>
    <w:rsid w:val="000300A6"/>
    <w:rsid w:val="00367C28"/>
    <w:rsid w:val="00B11D84"/>
    <w:rsid w:val="00E374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54357">
      <w:marLeft w:val="0"/>
      <w:marRight w:val="0"/>
      <w:marTop w:val="0"/>
      <w:marBottom w:val="0"/>
      <w:divBdr>
        <w:top w:val="none" w:sz="0" w:space="0" w:color="auto"/>
        <w:left w:val="none" w:sz="0" w:space="0" w:color="auto"/>
        <w:bottom w:val="none" w:sz="0" w:space="0" w:color="auto"/>
        <w:right w:val="none" w:sz="0" w:space="0" w:color="auto"/>
      </w:divBdr>
      <w:divsChild>
        <w:div w:id="102893932">
          <w:marLeft w:val="0"/>
          <w:marRight w:val="0"/>
          <w:marTop w:val="0"/>
          <w:marBottom w:val="0"/>
          <w:divBdr>
            <w:top w:val="none" w:sz="0" w:space="0" w:color="auto"/>
            <w:left w:val="none" w:sz="0" w:space="0" w:color="auto"/>
            <w:bottom w:val="none" w:sz="0" w:space="0" w:color="auto"/>
            <w:right w:val="none" w:sz="0" w:space="0" w:color="auto"/>
          </w:divBdr>
        </w:div>
      </w:divsChild>
    </w:div>
    <w:div w:id="102044127">
      <w:marLeft w:val="0"/>
      <w:marRight w:val="0"/>
      <w:marTop w:val="0"/>
      <w:marBottom w:val="0"/>
      <w:divBdr>
        <w:top w:val="none" w:sz="0" w:space="0" w:color="auto"/>
        <w:left w:val="none" w:sz="0" w:space="0" w:color="auto"/>
        <w:bottom w:val="none" w:sz="0" w:space="0" w:color="auto"/>
        <w:right w:val="none" w:sz="0" w:space="0" w:color="auto"/>
      </w:divBdr>
      <w:divsChild>
        <w:div w:id="70742274">
          <w:marLeft w:val="0"/>
          <w:marRight w:val="0"/>
          <w:marTop w:val="0"/>
          <w:marBottom w:val="0"/>
          <w:divBdr>
            <w:top w:val="none" w:sz="0" w:space="0" w:color="auto"/>
            <w:left w:val="none" w:sz="0" w:space="0" w:color="auto"/>
            <w:bottom w:val="none" w:sz="0" w:space="0" w:color="auto"/>
            <w:right w:val="none" w:sz="0" w:space="0" w:color="auto"/>
          </w:divBdr>
        </w:div>
      </w:divsChild>
    </w:div>
    <w:div w:id="204030168">
      <w:marLeft w:val="0"/>
      <w:marRight w:val="0"/>
      <w:marTop w:val="0"/>
      <w:marBottom w:val="0"/>
      <w:divBdr>
        <w:top w:val="none" w:sz="0" w:space="0" w:color="auto"/>
        <w:left w:val="none" w:sz="0" w:space="0" w:color="auto"/>
        <w:bottom w:val="none" w:sz="0" w:space="0" w:color="auto"/>
        <w:right w:val="none" w:sz="0" w:space="0" w:color="auto"/>
      </w:divBdr>
    </w:div>
    <w:div w:id="263655241">
      <w:marLeft w:val="0"/>
      <w:marRight w:val="0"/>
      <w:marTop w:val="0"/>
      <w:marBottom w:val="0"/>
      <w:divBdr>
        <w:top w:val="none" w:sz="0" w:space="0" w:color="auto"/>
        <w:left w:val="none" w:sz="0" w:space="0" w:color="auto"/>
        <w:bottom w:val="none" w:sz="0" w:space="0" w:color="auto"/>
        <w:right w:val="none" w:sz="0" w:space="0" w:color="auto"/>
      </w:divBdr>
    </w:div>
    <w:div w:id="264072837">
      <w:marLeft w:val="0"/>
      <w:marRight w:val="0"/>
      <w:marTop w:val="0"/>
      <w:marBottom w:val="0"/>
      <w:divBdr>
        <w:top w:val="none" w:sz="0" w:space="0" w:color="auto"/>
        <w:left w:val="none" w:sz="0" w:space="0" w:color="auto"/>
        <w:bottom w:val="none" w:sz="0" w:space="0" w:color="auto"/>
        <w:right w:val="none" w:sz="0" w:space="0" w:color="auto"/>
      </w:divBdr>
    </w:div>
    <w:div w:id="324818252">
      <w:marLeft w:val="0"/>
      <w:marRight w:val="0"/>
      <w:marTop w:val="0"/>
      <w:marBottom w:val="0"/>
      <w:divBdr>
        <w:top w:val="none" w:sz="0" w:space="0" w:color="auto"/>
        <w:left w:val="none" w:sz="0" w:space="0" w:color="auto"/>
        <w:bottom w:val="none" w:sz="0" w:space="0" w:color="auto"/>
        <w:right w:val="none" w:sz="0" w:space="0" w:color="auto"/>
      </w:divBdr>
      <w:divsChild>
        <w:div w:id="905190929">
          <w:marLeft w:val="0"/>
          <w:marRight w:val="0"/>
          <w:marTop w:val="0"/>
          <w:marBottom w:val="0"/>
          <w:divBdr>
            <w:top w:val="none" w:sz="0" w:space="0" w:color="auto"/>
            <w:left w:val="none" w:sz="0" w:space="0" w:color="auto"/>
            <w:bottom w:val="none" w:sz="0" w:space="0" w:color="auto"/>
            <w:right w:val="none" w:sz="0" w:space="0" w:color="auto"/>
          </w:divBdr>
        </w:div>
      </w:divsChild>
    </w:div>
    <w:div w:id="384329872">
      <w:marLeft w:val="0"/>
      <w:marRight w:val="0"/>
      <w:marTop w:val="0"/>
      <w:marBottom w:val="0"/>
      <w:divBdr>
        <w:top w:val="none" w:sz="0" w:space="0" w:color="auto"/>
        <w:left w:val="none" w:sz="0" w:space="0" w:color="auto"/>
        <w:bottom w:val="none" w:sz="0" w:space="0" w:color="auto"/>
        <w:right w:val="none" w:sz="0" w:space="0" w:color="auto"/>
      </w:divBdr>
      <w:divsChild>
        <w:div w:id="751435850">
          <w:marLeft w:val="0"/>
          <w:marRight w:val="0"/>
          <w:marTop w:val="0"/>
          <w:marBottom w:val="0"/>
          <w:divBdr>
            <w:top w:val="none" w:sz="0" w:space="0" w:color="auto"/>
            <w:left w:val="none" w:sz="0" w:space="0" w:color="auto"/>
            <w:bottom w:val="none" w:sz="0" w:space="0" w:color="auto"/>
            <w:right w:val="none" w:sz="0" w:space="0" w:color="auto"/>
          </w:divBdr>
        </w:div>
      </w:divsChild>
    </w:div>
    <w:div w:id="405811340">
      <w:marLeft w:val="0"/>
      <w:marRight w:val="0"/>
      <w:marTop w:val="0"/>
      <w:marBottom w:val="0"/>
      <w:divBdr>
        <w:top w:val="none" w:sz="0" w:space="0" w:color="auto"/>
        <w:left w:val="none" w:sz="0" w:space="0" w:color="auto"/>
        <w:bottom w:val="none" w:sz="0" w:space="0" w:color="auto"/>
        <w:right w:val="none" w:sz="0" w:space="0" w:color="auto"/>
      </w:divBdr>
      <w:divsChild>
        <w:div w:id="728841081">
          <w:marLeft w:val="0"/>
          <w:marRight w:val="0"/>
          <w:marTop w:val="0"/>
          <w:marBottom w:val="0"/>
          <w:divBdr>
            <w:top w:val="none" w:sz="0" w:space="0" w:color="auto"/>
            <w:left w:val="none" w:sz="0" w:space="0" w:color="auto"/>
            <w:bottom w:val="none" w:sz="0" w:space="0" w:color="auto"/>
            <w:right w:val="none" w:sz="0" w:space="0" w:color="auto"/>
          </w:divBdr>
        </w:div>
      </w:divsChild>
    </w:div>
    <w:div w:id="605773774">
      <w:marLeft w:val="0"/>
      <w:marRight w:val="0"/>
      <w:marTop w:val="0"/>
      <w:marBottom w:val="0"/>
      <w:divBdr>
        <w:top w:val="none" w:sz="0" w:space="0" w:color="auto"/>
        <w:left w:val="none" w:sz="0" w:space="0" w:color="auto"/>
        <w:bottom w:val="none" w:sz="0" w:space="0" w:color="auto"/>
        <w:right w:val="none" w:sz="0" w:space="0" w:color="auto"/>
      </w:divBdr>
      <w:divsChild>
        <w:div w:id="854003263">
          <w:marLeft w:val="0"/>
          <w:marRight w:val="0"/>
          <w:marTop w:val="0"/>
          <w:marBottom w:val="0"/>
          <w:divBdr>
            <w:top w:val="none" w:sz="0" w:space="0" w:color="auto"/>
            <w:left w:val="none" w:sz="0" w:space="0" w:color="auto"/>
            <w:bottom w:val="none" w:sz="0" w:space="0" w:color="auto"/>
            <w:right w:val="none" w:sz="0" w:space="0" w:color="auto"/>
          </w:divBdr>
        </w:div>
      </w:divsChild>
    </w:div>
    <w:div w:id="929657194">
      <w:marLeft w:val="0"/>
      <w:marRight w:val="0"/>
      <w:marTop w:val="0"/>
      <w:marBottom w:val="0"/>
      <w:divBdr>
        <w:top w:val="none" w:sz="0" w:space="0" w:color="auto"/>
        <w:left w:val="none" w:sz="0" w:space="0" w:color="auto"/>
        <w:bottom w:val="none" w:sz="0" w:space="0" w:color="auto"/>
        <w:right w:val="none" w:sz="0" w:space="0" w:color="auto"/>
      </w:divBdr>
      <w:divsChild>
        <w:div w:id="350104710">
          <w:marLeft w:val="0"/>
          <w:marRight w:val="0"/>
          <w:marTop w:val="0"/>
          <w:marBottom w:val="0"/>
          <w:divBdr>
            <w:top w:val="none" w:sz="0" w:space="0" w:color="auto"/>
            <w:left w:val="none" w:sz="0" w:space="0" w:color="auto"/>
            <w:bottom w:val="none" w:sz="0" w:space="0" w:color="auto"/>
            <w:right w:val="none" w:sz="0" w:space="0" w:color="auto"/>
          </w:divBdr>
        </w:div>
      </w:divsChild>
    </w:div>
    <w:div w:id="1047611415">
      <w:marLeft w:val="0"/>
      <w:marRight w:val="0"/>
      <w:marTop w:val="0"/>
      <w:marBottom w:val="0"/>
      <w:divBdr>
        <w:top w:val="none" w:sz="0" w:space="0" w:color="auto"/>
        <w:left w:val="none" w:sz="0" w:space="0" w:color="auto"/>
        <w:bottom w:val="none" w:sz="0" w:space="0" w:color="auto"/>
        <w:right w:val="none" w:sz="0" w:space="0" w:color="auto"/>
      </w:divBdr>
      <w:divsChild>
        <w:div w:id="1854802126">
          <w:marLeft w:val="0"/>
          <w:marRight w:val="0"/>
          <w:marTop w:val="0"/>
          <w:marBottom w:val="0"/>
          <w:divBdr>
            <w:top w:val="none" w:sz="0" w:space="0" w:color="auto"/>
            <w:left w:val="none" w:sz="0" w:space="0" w:color="auto"/>
            <w:bottom w:val="none" w:sz="0" w:space="0" w:color="auto"/>
            <w:right w:val="none" w:sz="0" w:space="0" w:color="auto"/>
          </w:divBdr>
        </w:div>
      </w:divsChild>
    </w:div>
    <w:div w:id="1086996659">
      <w:marLeft w:val="0"/>
      <w:marRight w:val="0"/>
      <w:marTop w:val="0"/>
      <w:marBottom w:val="0"/>
      <w:divBdr>
        <w:top w:val="none" w:sz="0" w:space="0" w:color="auto"/>
        <w:left w:val="none" w:sz="0" w:space="0" w:color="auto"/>
        <w:bottom w:val="none" w:sz="0" w:space="0" w:color="auto"/>
        <w:right w:val="none" w:sz="0" w:space="0" w:color="auto"/>
      </w:divBdr>
    </w:div>
    <w:div w:id="1219902482">
      <w:marLeft w:val="0"/>
      <w:marRight w:val="0"/>
      <w:marTop w:val="0"/>
      <w:marBottom w:val="0"/>
      <w:divBdr>
        <w:top w:val="none" w:sz="0" w:space="0" w:color="auto"/>
        <w:left w:val="none" w:sz="0" w:space="0" w:color="auto"/>
        <w:bottom w:val="none" w:sz="0" w:space="0" w:color="auto"/>
        <w:right w:val="none" w:sz="0" w:space="0" w:color="auto"/>
      </w:divBdr>
    </w:div>
    <w:div w:id="1221090729">
      <w:marLeft w:val="0"/>
      <w:marRight w:val="0"/>
      <w:marTop w:val="0"/>
      <w:marBottom w:val="0"/>
      <w:divBdr>
        <w:top w:val="none" w:sz="0" w:space="0" w:color="auto"/>
        <w:left w:val="none" w:sz="0" w:space="0" w:color="auto"/>
        <w:bottom w:val="none" w:sz="0" w:space="0" w:color="auto"/>
        <w:right w:val="none" w:sz="0" w:space="0" w:color="auto"/>
      </w:divBdr>
    </w:div>
    <w:div w:id="1245608881">
      <w:marLeft w:val="0"/>
      <w:marRight w:val="0"/>
      <w:marTop w:val="0"/>
      <w:marBottom w:val="0"/>
      <w:divBdr>
        <w:top w:val="none" w:sz="0" w:space="0" w:color="auto"/>
        <w:left w:val="none" w:sz="0" w:space="0" w:color="auto"/>
        <w:bottom w:val="none" w:sz="0" w:space="0" w:color="auto"/>
        <w:right w:val="none" w:sz="0" w:space="0" w:color="auto"/>
      </w:divBdr>
    </w:div>
    <w:div w:id="1570340621">
      <w:marLeft w:val="0"/>
      <w:marRight w:val="0"/>
      <w:marTop w:val="0"/>
      <w:marBottom w:val="0"/>
      <w:divBdr>
        <w:top w:val="none" w:sz="0" w:space="0" w:color="auto"/>
        <w:left w:val="none" w:sz="0" w:space="0" w:color="auto"/>
        <w:bottom w:val="none" w:sz="0" w:space="0" w:color="auto"/>
        <w:right w:val="none" w:sz="0" w:space="0" w:color="auto"/>
      </w:divBdr>
      <w:divsChild>
        <w:div w:id="240915500">
          <w:marLeft w:val="0"/>
          <w:marRight w:val="0"/>
          <w:marTop w:val="0"/>
          <w:marBottom w:val="0"/>
          <w:divBdr>
            <w:top w:val="none" w:sz="0" w:space="0" w:color="auto"/>
            <w:left w:val="none" w:sz="0" w:space="0" w:color="auto"/>
            <w:bottom w:val="none" w:sz="0" w:space="0" w:color="auto"/>
            <w:right w:val="none" w:sz="0" w:space="0" w:color="auto"/>
          </w:divBdr>
        </w:div>
      </w:divsChild>
    </w:div>
    <w:div w:id="1589071774">
      <w:marLeft w:val="0"/>
      <w:marRight w:val="0"/>
      <w:marTop w:val="0"/>
      <w:marBottom w:val="0"/>
      <w:divBdr>
        <w:top w:val="none" w:sz="0" w:space="0" w:color="auto"/>
        <w:left w:val="none" w:sz="0" w:space="0" w:color="auto"/>
        <w:bottom w:val="none" w:sz="0" w:space="0" w:color="auto"/>
        <w:right w:val="none" w:sz="0" w:space="0" w:color="auto"/>
      </w:divBdr>
      <w:divsChild>
        <w:div w:id="1212309496">
          <w:marLeft w:val="0"/>
          <w:marRight w:val="0"/>
          <w:marTop w:val="0"/>
          <w:marBottom w:val="0"/>
          <w:divBdr>
            <w:top w:val="none" w:sz="0" w:space="0" w:color="auto"/>
            <w:left w:val="none" w:sz="0" w:space="0" w:color="auto"/>
            <w:bottom w:val="none" w:sz="0" w:space="0" w:color="auto"/>
            <w:right w:val="none" w:sz="0" w:space="0" w:color="auto"/>
          </w:divBdr>
        </w:div>
      </w:divsChild>
    </w:div>
    <w:div w:id="1695762832">
      <w:marLeft w:val="0"/>
      <w:marRight w:val="0"/>
      <w:marTop w:val="0"/>
      <w:marBottom w:val="0"/>
      <w:divBdr>
        <w:top w:val="none" w:sz="0" w:space="0" w:color="auto"/>
        <w:left w:val="none" w:sz="0" w:space="0" w:color="auto"/>
        <w:bottom w:val="none" w:sz="0" w:space="0" w:color="auto"/>
        <w:right w:val="none" w:sz="0" w:space="0" w:color="auto"/>
      </w:divBdr>
    </w:div>
    <w:div w:id="1776708477">
      <w:marLeft w:val="0"/>
      <w:marRight w:val="0"/>
      <w:marTop w:val="0"/>
      <w:marBottom w:val="0"/>
      <w:divBdr>
        <w:top w:val="none" w:sz="0" w:space="0" w:color="auto"/>
        <w:left w:val="none" w:sz="0" w:space="0" w:color="auto"/>
        <w:bottom w:val="none" w:sz="0" w:space="0" w:color="auto"/>
        <w:right w:val="none" w:sz="0" w:space="0" w:color="auto"/>
      </w:divBdr>
      <w:divsChild>
        <w:div w:id="1449158296">
          <w:marLeft w:val="0"/>
          <w:marRight w:val="0"/>
          <w:marTop w:val="0"/>
          <w:marBottom w:val="0"/>
          <w:divBdr>
            <w:top w:val="none" w:sz="0" w:space="0" w:color="auto"/>
            <w:left w:val="none" w:sz="0" w:space="0" w:color="auto"/>
            <w:bottom w:val="none" w:sz="0" w:space="0" w:color="auto"/>
            <w:right w:val="none" w:sz="0" w:space="0" w:color="auto"/>
          </w:divBdr>
        </w:div>
      </w:divsChild>
    </w:div>
    <w:div w:id="1915816192">
      <w:marLeft w:val="0"/>
      <w:marRight w:val="0"/>
      <w:marTop w:val="0"/>
      <w:marBottom w:val="0"/>
      <w:divBdr>
        <w:top w:val="none" w:sz="0" w:space="0" w:color="auto"/>
        <w:left w:val="none" w:sz="0" w:space="0" w:color="auto"/>
        <w:bottom w:val="none" w:sz="0" w:space="0" w:color="auto"/>
        <w:right w:val="none" w:sz="0" w:space="0" w:color="auto"/>
      </w:divBdr>
    </w:div>
    <w:div w:id="1997415599">
      <w:marLeft w:val="0"/>
      <w:marRight w:val="0"/>
      <w:marTop w:val="0"/>
      <w:marBottom w:val="0"/>
      <w:divBdr>
        <w:top w:val="none" w:sz="0" w:space="0" w:color="auto"/>
        <w:left w:val="none" w:sz="0" w:space="0" w:color="auto"/>
        <w:bottom w:val="none" w:sz="0" w:space="0" w:color="auto"/>
        <w:right w:val="none" w:sz="0" w:space="0" w:color="auto"/>
      </w:divBdr>
      <w:divsChild>
        <w:div w:id="1618563558">
          <w:marLeft w:val="0"/>
          <w:marRight w:val="0"/>
          <w:marTop w:val="0"/>
          <w:marBottom w:val="0"/>
          <w:divBdr>
            <w:top w:val="none" w:sz="0" w:space="0" w:color="auto"/>
            <w:left w:val="none" w:sz="0" w:space="0" w:color="auto"/>
            <w:bottom w:val="none" w:sz="0" w:space="0" w:color="auto"/>
            <w:right w:val="none" w:sz="0" w:space="0" w:color="auto"/>
          </w:divBdr>
        </w:div>
      </w:divsChild>
    </w:div>
    <w:div w:id="2091387887">
      <w:marLeft w:val="0"/>
      <w:marRight w:val="0"/>
      <w:marTop w:val="0"/>
      <w:marBottom w:val="0"/>
      <w:divBdr>
        <w:top w:val="none" w:sz="0" w:space="0" w:color="auto"/>
        <w:left w:val="none" w:sz="0" w:space="0" w:color="auto"/>
        <w:bottom w:val="none" w:sz="0" w:space="0" w:color="auto"/>
        <w:right w:val="none" w:sz="0" w:space="0" w:color="auto"/>
      </w:divBdr>
      <w:divsChild>
        <w:div w:id="203101292">
          <w:marLeft w:val="0"/>
          <w:marRight w:val="0"/>
          <w:marTop w:val="0"/>
          <w:marBottom w:val="0"/>
          <w:divBdr>
            <w:top w:val="none" w:sz="0" w:space="0" w:color="auto"/>
            <w:left w:val="none" w:sz="0" w:space="0" w:color="auto"/>
            <w:bottom w:val="none" w:sz="0" w:space="0" w:color="auto"/>
            <w:right w:val="none" w:sz="0" w:space="0" w:color="auto"/>
          </w:divBdr>
          <w:divsChild>
            <w:div w:id="8112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Custom Property</dc:title>
  <dc:creator>TK-Emlak</dc:creator>
  <cp:lastModifiedBy>TK-Emlak</cp:lastModifiedBy>
  <cp:revision>2</cp:revision>
  <dcterms:created xsi:type="dcterms:W3CDTF">2016-08-02T05:30:00Z</dcterms:created>
  <dcterms:modified xsi:type="dcterms:W3CDTF">2016-08-02T05:30:00Z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GROUP">
    <vt:lpwstr>CHANNELA</vt:lpwstr>
  </property>
  <property fmtid="{D5CDD505-2E9C-101B-9397-08002B2CF9AE}" pid="3" name="BUSINESSGROUPID">
    <vt:lpwstr>2</vt:lpwstr>
  </property>
</Properties>
</file>